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815DFC">
      <w:pPr>
        <w:jc w:val="center"/>
        <w:rPr>
          <w:rFonts w:ascii="宋体"/>
          <w:b/>
          <w:sz w:val="32"/>
          <w:szCs w:val="32"/>
        </w:rPr>
      </w:pPr>
    </w:p>
    <w:p w14:paraId="78723C72">
      <w:pPr>
        <w:jc w:val="center"/>
        <w:rPr>
          <w:rFonts w:ascii="宋体"/>
          <w:b/>
          <w:sz w:val="32"/>
          <w:szCs w:val="32"/>
        </w:rPr>
      </w:pPr>
    </w:p>
    <w:p w14:paraId="4B10BB6E">
      <w:pPr>
        <w:jc w:val="center"/>
        <w:rPr>
          <w:rFonts w:ascii="宋体"/>
          <w:b/>
          <w:sz w:val="32"/>
          <w:szCs w:val="32"/>
        </w:rPr>
      </w:pPr>
    </w:p>
    <w:p w14:paraId="7288FF2D">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山西省地方标准</w:t>
      </w:r>
    </w:p>
    <w:p w14:paraId="4AFCF282">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《苹果腐烂病综合防治技术规程》</w:t>
      </w:r>
    </w:p>
    <w:p w14:paraId="2A0BC2CF">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编制说明</w:t>
      </w:r>
    </w:p>
    <w:p w14:paraId="0F201D21">
      <w:pPr>
        <w:ind w:firstLine="643" w:firstLineChars="200"/>
        <w:rPr>
          <w:rFonts w:ascii="仿宋" w:hAnsi="仿宋" w:eastAsia="仿宋"/>
          <w:b/>
          <w:sz w:val="32"/>
          <w:szCs w:val="32"/>
        </w:rPr>
      </w:pPr>
    </w:p>
    <w:p w14:paraId="66953009">
      <w:pPr>
        <w:ind w:firstLine="643" w:firstLineChars="200"/>
        <w:rPr>
          <w:rFonts w:ascii="仿宋" w:hAnsi="仿宋" w:eastAsia="仿宋"/>
          <w:b/>
          <w:sz w:val="32"/>
          <w:szCs w:val="32"/>
        </w:rPr>
      </w:pPr>
    </w:p>
    <w:p w14:paraId="7091EA0A">
      <w:pPr>
        <w:ind w:firstLine="643" w:firstLineChars="200"/>
        <w:rPr>
          <w:rFonts w:ascii="仿宋" w:hAnsi="仿宋" w:eastAsia="仿宋"/>
          <w:b/>
          <w:sz w:val="32"/>
          <w:szCs w:val="32"/>
        </w:rPr>
      </w:pPr>
    </w:p>
    <w:p w14:paraId="5D7938E5">
      <w:pPr>
        <w:ind w:firstLine="643" w:firstLineChars="200"/>
        <w:rPr>
          <w:rFonts w:ascii="仿宋" w:hAnsi="仿宋" w:eastAsia="仿宋"/>
          <w:b/>
          <w:sz w:val="32"/>
          <w:szCs w:val="32"/>
        </w:rPr>
      </w:pPr>
    </w:p>
    <w:p w14:paraId="5E7CA525">
      <w:pPr>
        <w:ind w:firstLine="643" w:firstLineChars="200"/>
        <w:rPr>
          <w:rFonts w:ascii="仿宋" w:hAnsi="仿宋" w:eastAsia="仿宋"/>
          <w:b/>
          <w:sz w:val="32"/>
          <w:szCs w:val="32"/>
        </w:rPr>
      </w:pPr>
    </w:p>
    <w:p w14:paraId="4CEC0DB9">
      <w:pPr>
        <w:ind w:firstLine="643" w:firstLineChars="200"/>
        <w:rPr>
          <w:rFonts w:ascii="仿宋" w:hAnsi="仿宋" w:eastAsia="仿宋"/>
          <w:b/>
          <w:sz w:val="32"/>
          <w:szCs w:val="32"/>
        </w:rPr>
      </w:pPr>
    </w:p>
    <w:p w14:paraId="119D36D9">
      <w:pPr>
        <w:ind w:firstLine="643" w:firstLineChars="200"/>
        <w:rPr>
          <w:rFonts w:ascii="仿宋" w:hAnsi="仿宋" w:eastAsia="仿宋"/>
          <w:b/>
          <w:sz w:val="32"/>
          <w:szCs w:val="32"/>
        </w:rPr>
      </w:pPr>
    </w:p>
    <w:p w14:paraId="0E5F35F3">
      <w:pPr>
        <w:ind w:firstLine="643" w:firstLineChars="200"/>
        <w:jc w:val="center"/>
        <w:rPr>
          <w:rFonts w:ascii="仿宋" w:hAnsi="仿宋" w:eastAsia="仿宋"/>
          <w:b/>
          <w:sz w:val="32"/>
          <w:szCs w:val="32"/>
        </w:rPr>
      </w:pPr>
    </w:p>
    <w:p w14:paraId="065034D8">
      <w:pPr>
        <w:ind w:firstLine="643" w:firstLineChars="200"/>
        <w:jc w:val="center"/>
        <w:rPr>
          <w:rFonts w:ascii="宋体"/>
          <w:b/>
          <w:sz w:val="32"/>
          <w:szCs w:val="32"/>
        </w:rPr>
      </w:pPr>
    </w:p>
    <w:p w14:paraId="20FCEBD2">
      <w:pPr>
        <w:ind w:firstLine="643" w:firstLineChars="200"/>
        <w:jc w:val="center"/>
        <w:rPr>
          <w:rFonts w:ascii="宋体"/>
          <w:b/>
          <w:sz w:val="32"/>
          <w:szCs w:val="32"/>
        </w:rPr>
      </w:pPr>
    </w:p>
    <w:p w14:paraId="7595B8DB">
      <w:pPr>
        <w:ind w:firstLine="643" w:firstLineChars="200"/>
        <w:jc w:val="center"/>
        <w:rPr>
          <w:rFonts w:ascii="宋体"/>
          <w:b/>
          <w:sz w:val="32"/>
          <w:szCs w:val="32"/>
        </w:rPr>
      </w:pPr>
    </w:p>
    <w:p w14:paraId="4D71AEB9">
      <w:pPr>
        <w:spacing w:line="360" w:lineRule="auto"/>
        <w:jc w:val="center"/>
        <w:rPr>
          <w:rFonts w:ascii="宋体" w:hAnsi="宋体"/>
          <w:b/>
          <w:kern w:val="22"/>
          <w:sz w:val="10"/>
          <w:szCs w:val="10"/>
        </w:rPr>
      </w:pPr>
      <w:r>
        <w:rPr>
          <w:rFonts w:hint="eastAsia" w:ascii="宋体" w:hAnsi="宋体"/>
          <w:b/>
          <w:kern w:val="22"/>
          <w:sz w:val="32"/>
          <w:szCs w:val="32"/>
        </w:rPr>
        <w:t>编制单位：山西农业大学</w:t>
      </w:r>
    </w:p>
    <w:p w14:paraId="577ACE18">
      <w:pPr>
        <w:jc w:val="center"/>
        <w:rPr>
          <w:rFonts w:ascii="宋体" w:hAnsi="宋体"/>
          <w:b/>
          <w:sz w:val="32"/>
          <w:szCs w:val="32"/>
        </w:rPr>
      </w:pPr>
      <w:r>
        <w:rPr>
          <w:rFonts w:hint="eastAsia" w:ascii="宋体" w:hAnsi="宋体"/>
          <w:b/>
          <w:sz w:val="32"/>
          <w:szCs w:val="32"/>
        </w:rPr>
        <w:t xml:space="preserve"> 二〇二四年一月</w:t>
      </w:r>
    </w:p>
    <w:p w14:paraId="48D88028">
      <w:pPr>
        <w:jc w:val="center"/>
        <w:rPr>
          <w:rFonts w:ascii="宋体" w:hAnsi="宋体"/>
          <w:b/>
          <w:sz w:val="32"/>
          <w:szCs w:val="32"/>
        </w:rPr>
      </w:pPr>
    </w:p>
    <w:p w14:paraId="3AFD3AEF">
      <w:pPr>
        <w:jc w:val="center"/>
        <w:rPr>
          <w:rFonts w:ascii="宋体" w:hAnsi="宋体"/>
          <w:b/>
          <w:sz w:val="32"/>
          <w:szCs w:val="32"/>
        </w:rPr>
      </w:pPr>
    </w:p>
    <w:p w14:paraId="69C2F7A9">
      <w:pPr>
        <w:jc w:val="center"/>
        <w:rPr>
          <w:rFonts w:ascii="宋体" w:hAnsi="宋体"/>
          <w:b/>
          <w:sz w:val="32"/>
          <w:szCs w:val="32"/>
        </w:rPr>
      </w:pPr>
    </w:p>
    <w:p w14:paraId="3D9CBD73">
      <w:pPr>
        <w:spacing w:line="520" w:lineRule="exact"/>
        <w:jc w:val="center"/>
        <w:rPr>
          <w:rFonts w:ascii="宋体"/>
          <w:b/>
          <w:sz w:val="30"/>
          <w:szCs w:val="30"/>
        </w:rPr>
      </w:pPr>
      <w:r>
        <w:rPr>
          <w:rFonts w:hint="eastAsia" w:ascii="宋体" w:hAnsi="宋体"/>
          <w:b/>
          <w:sz w:val="30"/>
          <w:szCs w:val="30"/>
        </w:rPr>
        <w:t>山西省地方标准</w:t>
      </w:r>
    </w:p>
    <w:p w14:paraId="127D675E">
      <w:pPr>
        <w:spacing w:line="520" w:lineRule="exact"/>
        <w:jc w:val="center"/>
        <w:rPr>
          <w:rFonts w:ascii="宋体"/>
          <w:b/>
          <w:sz w:val="30"/>
          <w:szCs w:val="30"/>
        </w:rPr>
      </w:pPr>
      <w:r>
        <w:rPr>
          <w:rFonts w:hint="eastAsia" w:ascii="宋体" w:hAnsi="宋体"/>
          <w:b/>
          <w:sz w:val="30"/>
          <w:szCs w:val="30"/>
        </w:rPr>
        <w:t>《苹果腐烂病综合防治技术规程》</w:t>
      </w:r>
    </w:p>
    <w:p w14:paraId="0661215D">
      <w:pPr>
        <w:spacing w:line="520" w:lineRule="exact"/>
        <w:jc w:val="center"/>
        <w:rPr>
          <w:rFonts w:ascii="宋体" w:hAnsi="宋体"/>
          <w:b/>
          <w:sz w:val="30"/>
          <w:szCs w:val="30"/>
        </w:rPr>
      </w:pPr>
      <w:r>
        <w:rPr>
          <w:rFonts w:hint="eastAsia" w:ascii="宋体" w:hAnsi="宋体"/>
          <w:b/>
          <w:sz w:val="30"/>
          <w:szCs w:val="30"/>
        </w:rPr>
        <w:t>编制说明</w:t>
      </w:r>
    </w:p>
    <w:p w14:paraId="536F7679">
      <w:pPr>
        <w:spacing w:line="520" w:lineRule="exact"/>
        <w:jc w:val="center"/>
        <w:rPr>
          <w:rFonts w:ascii="宋体" w:hAnsi="宋体"/>
          <w:b/>
          <w:sz w:val="30"/>
          <w:szCs w:val="30"/>
        </w:rPr>
      </w:pPr>
    </w:p>
    <w:p w14:paraId="6FF4A481">
      <w:pPr>
        <w:spacing w:line="360" w:lineRule="auto"/>
        <w:ind w:firstLine="480" w:firstLineChars="200"/>
        <w:outlineLvl w:val="0"/>
        <w:rPr>
          <w:rFonts w:ascii="黑体" w:eastAsia="黑体"/>
          <w:sz w:val="24"/>
        </w:rPr>
      </w:pPr>
      <w:r>
        <w:rPr>
          <w:rFonts w:hint="eastAsia" w:ascii="黑体" w:eastAsia="黑体"/>
          <w:sz w:val="24"/>
        </w:rPr>
        <w:t>一、工作简况</w:t>
      </w:r>
    </w:p>
    <w:p w14:paraId="28CD55C5">
      <w:pPr>
        <w:spacing w:line="360" w:lineRule="auto"/>
        <w:ind w:left="465"/>
        <w:outlineLvl w:val="1"/>
        <w:rPr>
          <w:rFonts w:ascii="楷体_GB2312" w:eastAsia="楷体_GB2312"/>
          <w:sz w:val="24"/>
        </w:rPr>
      </w:pPr>
      <w:r>
        <w:rPr>
          <w:rFonts w:hint="eastAsia" w:ascii="楷体_GB2312" w:eastAsia="楷体_GB2312"/>
          <w:sz w:val="24"/>
        </w:rPr>
        <w:t>1任务来源</w:t>
      </w:r>
    </w:p>
    <w:p w14:paraId="52EFE366">
      <w:pPr>
        <w:spacing w:line="360" w:lineRule="auto"/>
        <w:ind w:firstLine="480" w:firstLineChars="200"/>
        <w:jc w:val="left"/>
        <w:outlineLvl w:val="1"/>
        <w:rPr>
          <w:rFonts w:ascii="仿宋_GB2312" w:hAnsi="宋体" w:eastAsia="仿宋_GB2312"/>
          <w:sz w:val="24"/>
        </w:rPr>
      </w:pPr>
      <w:r>
        <w:rPr>
          <w:rFonts w:hint="eastAsia" w:ascii="仿宋_GB2312" w:hAnsi="宋体" w:eastAsia="仿宋_GB2312"/>
          <w:sz w:val="24"/>
        </w:rPr>
        <w:t>按照山西省市场监督管理局关于2023年度地方标准复审结论的公告（2024年</w:t>
      </w:r>
      <w:r>
        <w:rPr>
          <w:rFonts w:hint="eastAsia" w:ascii="仿宋_GB2312" w:hAnsi="宋体" w:eastAsia="仿宋_GB2312"/>
          <w:sz w:val="24"/>
          <w:lang w:val="en-US" w:eastAsia="zh-CN"/>
        </w:rPr>
        <w:t>第</w:t>
      </w:r>
      <w:r>
        <w:rPr>
          <w:rFonts w:hint="eastAsia" w:ascii="仿宋_GB2312" w:hAnsi="宋体" w:eastAsia="仿宋_GB2312"/>
          <w:sz w:val="24"/>
        </w:rPr>
        <w:t>4号），《苹果</w:t>
      </w:r>
      <w:r>
        <w:rPr>
          <w:rFonts w:hint="eastAsia" w:ascii="仿宋_GB2312" w:hAnsi="宋体" w:eastAsia="仿宋_GB2312"/>
          <w:sz w:val="24"/>
          <w:lang w:val="en-US" w:eastAsia="zh-CN"/>
        </w:rPr>
        <w:t>树腐烂</w:t>
      </w:r>
      <w:r>
        <w:rPr>
          <w:rFonts w:hint="eastAsia" w:ascii="仿宋_GB2312" w:hAnsi="宋体" w:eastAsia="仿宋_GB2312"/>
          <w:sz w:val="24"/>
        </w:rPr>
        <w:t xml:space="preserve">病综合防治技术规程》DB14/T </w:t>
      </w:r>
      <w:r>
        <w:rPr>
          <w:rFonts w:hint="eastAsia" w:ascii="仿宋_GB2312" w:hAnsi="宋体" w:eastAsia="仿宋_GB2312"/>
          <w:sz w:val="24"/>
          <w:lang w:val="en-US" w:eastAsia="zh-CN"/>
        </w:rPr>
        <w:t>799</w:t>
      </w:r>
      <w:r>
        <w:rPr>
          <w:rFonts w:hint="eastAsia" w:ascii="仿宋_GB2312" w:hAnsi="宋体" w:eastAsia="仿宋_GB2312"/>
          <w:sz w:val="24"/>
        </w:rPr>
        <w:t>-2013被列入山西省地方标准修订计划，本标准由山西省农业标准化技术委员会（SXS/TC19）归口。</w:t>
      </w:r>
    </w:p>
    <w:p w14:paraId="6A103898">
      <w:pPr>
        <w:spacing w:line="360" w:lineRule="auto"/>
        <w:ind w:firstLine="480" w:firstLineChars="200"/>
        <w:jc w:val="left"/>
        <w:outlineLvl w:val="1"/>
        <w:rPr>
          <w:rFonts w:hint="eastAsia" w:ascii="仿宋_GB2312" w:hAnsi="宋体" w:eastAsia="仿宋_GB2312"/>
          <w:sz w:val="24"/>
        </w:rPr>
      </w:pPr>
      <w:r>
        <w:rPr>
          <w:rFonts w:hint="eastAsia" w:ascii="楷体_GB2312" w:eastAsia="楷体_GB2312"/>
          <w:sz w:val="24"/>
        </w:rPr>
        <w:t>2 起草</w:t>
      </w:r>
      <w:r>
        <w:rPr>
          <w:rFonts w:ascii="楷体_GB2312" w:eastAsia="楷体_GB2312"/>
          <w:sz w:val="24"/>
        </w:rPr>
        <w:t>单位和主要起草人</w:t>
      </w:r>
    </w:p>
    <w:p w14:paraId="7EEEFD66">
      <w:pPr>
        <w:spacing w:line="360" w:lineRule="auto"/>
        <w:ind w:firstLine="480" w:firstLineChars="200"/>
        <w:jc w:val="left"/>
        <w:outlineLvl w:val="1"/>
        <w:rPr>
          <w:rFonts w:ascii="仿宋_GB2312" w:hAnsi="宋体" w:eastAsia="仿宋_GB2312"/>
          <w:sz w:val="24"/>
        </w:rPr>
      </w:pPr>
      <w:r>
        <w:rPr>
          <w:rFonts w:ascii="仿宋_GB2312" w:hAnsi="宋体" w:eastAsia="仿宋_GB2312"/>
          <w:sz w:val="24"/>
        </w:rPr>
        <w:t>起草任务由</w:t>
      </w:r>
      <w:r>
        <w:rPr>
          <w:rFonts w:hint="eastAsia" w:ascii="仿宋_GB2312" w:hAnsi="宋体" w:eastAsia="仿宋_GB2312"/>
          <w:sz w:val="24"/>
        </w:rPr>
        <w:t>山西农业大学承担</w:t>
      </w:r>
      <w:r>
        <w:rPr>
          <w:rFonts w:ascii="仿宋_GB2312" w:hAnsi="宋体" w:eastAsia="仿宋_GB2312"/>
          <w:sz w:val="24"/>
        </w:rPr>
        <w:t>。</w:t>
      </w:r>
    </w:p>
    <w:p w14:paraId="33BA1D8C">
      <w:pPr>
        <w:spacing w:line="360" w:lineRule="auto"/>
        <w:ind w:firstLine="480" w:firstLineChars="200"/>
        <w:jc w:val="center"/>
        <w:outlineLvl w:val="1"/>
        <w:rPr>
          <w:rFonts w:ascii="仿宋_GB2312" w:hAnsi="宋体" w:eastAsia="仿宋_GB2312"/>
          <w:sz w:val="24"/>
        </w:rPr>
      </w:pPr>
      <w:r>
        <w:rPr>
          <w:rFonts w:ascii="仿宋_GB2312" w:hAnsi="宋体" w:eastAsia="仿宋_GB2312"/>
          <w:sz w:val="24"/>
        </w:rPr>
        <w:t>主要起草人信息</w:t>
      </w:r>
    </w:p>
    <w:tbl>
      <w:tblPr>
        <w:tblStyle w:val="16"/>
        <w:tblW w:w="86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850"/>
        <w:gridCol w:w="1418"/>
        <w:gridCol w:w="1559"/>
        <w:gridCol w:w="3885"/>
      </w:tblGrid>
      <w:tr w14:paraId="7D2DB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245E7ED">
            <w:pPr>
              <w:spacing w:line="400" w:lineRule="exact"/>
              <w:jc w:val="center"/>
              <w:rPr>
                <w:rFonts w:ascii="仿宋" w:hAnsi="仿宋" w:eastAsia="仿宋" w:cs="Courier New"/>
                <w:sz w:val="24"/>
              </w:rPr>
            </w:pPr>
            <w:r>
              <w:rPr>
                <w:rFonts w:hint="eastAsia" w:ascii="仿宋" w:hAnsi="仿宋" w:eastAsia="仿宋" w:cs="Courier New"/>
                <w:sz w:val="24"/>
              </w:rPr>
              <w:t>姓名</w:t>
            </w:r>
          </w:p>
        </w:tc>
        <w:tc>
          <w:tcPr>
            <w:tcW w:w="850" w:type="dxa"/>
          </w:tcPr>
          <w:p w14:paraId="37DB2602">
            <w:pPr>
              <w:spacing w:line="400" w:lineRule="exact"/>
              <w:jc w:val="center"/>
              <w:rPr>
                <w:rFonts w:ascii="仿宋" w:hAnsi="仿宋" w:eastAsia="仿宋" w:cs="Courier New"/>
                <w:sz w:val="24"/>
              </w:rPr>
            </w:pPr>
            <w:r>
              <w:rPr>
                <w:rFonts w:hint="eastAsia" w:ascii="仿宋" w:hAnsi="仿宋" w:eastAsia="仿宋" w:cs="Courier New"/>
                <w:sz w:val="24"/>
              </w:rPr>
              <w:t>性别</w:t>
            </w:r>
          </w:p>
        </w:tc>
        <w:tc>
          <w:tcPr>
            <w:tcW w:w="1418" w:type="dxa"/>
          </w:tcPr>
          <w:p w14:paraId="5FC41B3E">
            <w:pPr>
              <w:spacing w:line="400" w:lineRule="exact"/>
              <w:jc w:val="center"/>
              <w:rPr>
                <w:rFonts w:ascii="仿宋" w:hAnsi="仿宋" w:eastAsia="仿宋" w:cs="Courier New"/>
                <w:sz w:val="24"/>
              </w:rPr>
            </w:pPr>
            <w:r>
              <w:rPr>
                <w:rFonts w:hint="eastAsia" w:ascii="仿宋" w:hAnsi="仿宋" w:eastAsia="仿宋" w:cs="Courier New"/>
                <w:sz w:val="24"/>
              </w:rPr>
              <w:t>职务/职称</w:t>
            </w:r>
          </w:p>
        </w:tc>
        <w:tc>
          <w:tcPr>
            <w:tcW w:w="1559" w:type="dxa"/>
          </w:tcPr>
          <w:p w14:paraId="2D51413B">
            <w:pPr>
              <w:spacing w:line="400" w:lineRule="exact"/>
              <w:jc w:val="center"/>
              <w:rPr>
                <w:rFonts w:ascii="仿宋" w:hAnsi="仿宋" w:eastAsia="仿宋" w:cs="Courier New"/>
                <w:sz w:val="24"/>
              </w:rPr>
            </w:pPr>
            <w:r>
              <w:rPr>
                <w:rFonts w:hint="eastAsia" w:ascii="仿宋" w:hAnsi="仿宋" w:eastAsia="仿宋" w:cs="Courier New"/>
                <w:sz w:val="24"/>
              </w:rPr>
              <w:t>工作单位</w:t>
            </w:r>
          </w:p>
        </w:tc>
        <w:tc>
          <w:tcPr>
            <w:tcW w:w="3885" w:type="dxa"/>
          </w:tcPr>
          <w:p w14:paraId="35853AC1">
            <w:pPr>
              <w:spacing w:line="400" w:lineRule="exact"/>
              <w:jc w:val="center"/>
              <w:rPr>
                <w:rFonts w:ascii="仿宋" w:hAnsi="仿宋" w:eastAsia="仿宋" w:cs="Courier New"/>
                <w:sz w:val="24"/>
              </w:rPr>
            </w:pPr>
            <w:r>
              <w:rPr>
                <w:rFonts w:hint="eastAsia" w:ascii="仿宋" w:hAnsi="仿宋" w:eastAsia="仿宋" w:cs="Courier New"/>
                <w:sz w:val="24"/>
              </w:rPr>
              <w:t>任务分工</w:t>
            </w:r>
          </w:p>
        </w:tc>
      </w:tr>
      <w:tr w14:paraId="15978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52C4C9F">
            <w:pPr>
              <w:adjustRightInd w:val="0"/>
              <w:snapToGrid w:val="0"/>
              <w:jc w:val="center"/>
              <w:rPr>
                <w:rFonts w:hint="eastAsia" w:ascii="仿宋" w:hAnsi="仿宋" w:eastAsia="仿宋" w:cs="Courier New"/>
                <w:szCs w:val="21"/>
              </w:rPr>
            </w:pPr>
            <w:r>
              <w:rPr>
                <w:rFonts w:hint="eastAsia" w:ascii="仿宋" w:hAnsi="仿宋" w:eastAsia="仿宋"/>
                <w:szCs w:val="21"/>
              </w:rPr>
              <w:t>冀佳悦</w:t>
            </w:r>
          </w:p>
        </w:tc>
        <w:tc>
          <w:tcPr>
            <w:tcW w:w="850" w:type="dxa"/>
          </w:tcPr>
          <w:p w14:paraId="72B6446B">
            <w:pPr>
              <w:adjustRightInd w:val="0"/>
              <w:snapToGrid w:val="0"/>
              <w:jc w:val="center"/>
              <w:rPr>
                <w:rFonts w:hint="eastAsia" w:ascii="仿宋" w:hAnsi="仿宋" w:eastAsia="仿宋" w:cs="Courier New"/>
                <w:szCs w:val="21"/>
              </w:rPr>
            </w:pPr>
            <w:r>
              <w:rPr>
                <w:rFonts w:hint="eastAsia" w:ascii="仿宋" w:hAnsi="仿宋" w:eastAsia="仿宋" w:cs="Courier New"/>
                <w:szCs w:val="21"/>
              </w:rPr>
              <w:t>女</w:t>
            </w:r>
          </w:p>
        </w:tc>
        <w:tc>
          <w:tcPr>
            <w:tcW w:w="1418" w:type="dxa"/>
          </w:tcPr>
          <w:p w14:paraId="0662374F">
            <w:pPr>
              <w:adjustRightInd w:val="0"/>
              <w:snapToGrid w:val="0"/>
              <w:jc w:val="center"/>
              <w:rPr>
                <w:rFonts w:hint="eastAsia" w:ascii="仿宋" w:hAnsi="仿宋" w:eastAsia="仿宋" w:cs="Courier New"/>
                <w:szCs w:val="21"/>
              </w:rPr>
            </w:pPr>
            <w:r>
              <w:rPr>
                <w:rFonts w:hint="eastAsia" w:ascii="仿宋" w:hAnsi="仿宋" w:eastAsia="仿宋" w:cs="Courier New"/>
                <w:szCs w:val="21"/>
              </w:rPr>
              <w:t>助理研究员</w:t>
            </w:r>
          </w:p>
        </w:tc>
        <w:tc>
          <w:tcPr>
            <w:tcW w:w="1559" w:type="dxa"/>
          </w:tcPr>
          <w:p w14:paraId="52F75C26">
            <w:pPr>
              <w:adjustRightInd w:val="0"/>
              <w:snapToGrid w:val="0"/>
              <w:jc w:val="center"/>
              <w:rPr>
                <w:rFonts w:hint="eastAsia" w:ascii="仿宋" w:hAnsi="仿宋" w:eastAsia="仿宋" w:cs="Courier New"/>
                <w:szCs w:val="21"/>
              </w:rPr>
            </w:pPr>
            <w:r>
              <w:rPr>
                <w:rFonts w:hint="eastAsia" w:ascii="仿宋" w:hAnsi="仿宋" w:eastAsia="仿宋" w:cs="Courier New"/>
                <w:szCs w:val="21"/>
              </w:rPr>
              <w:t>山西农业大学果树研究所</w:t>
            </w:r>
          </w:p>
        </w:tc>
        <w:tc>
          <w:tcPr>
            <w:tcW w:w="3885" w:type="dxa"/>
          </w:tcPr>
          <w:p w14:paraId="5E25812A">
            <w:pPr>
              <w:adjustRightInd w:val="0"/>
              <w:snapToGrid w:val="0"/>
              <w:jc w:val="center"/>
              <w:rPr>
                <w:rFonts w:hint="eastAsia" w:ascii="仿宋" w:hAnsi="仿宋" w:eastAsia="仿宋" w:cs="Courier New"/>
                <w:szCs w:val="21"/>
              </w:rPr>
            </w:pPr>
            <w:r>
              <w:rPr>
                <w:rFonts w:hint="eastAsia" w:ascii="仿宋" w:hAnsi="仿宋" w:eastAsia="仿宋" w:cs="Courier New"/>
                <w:szCs w:val="21"/>
              </w:rPr>
              <w:t>负责标准结构框架制订、修订工作方案的制定、标准各修订阶段质控。组织实施标准修订草案、讨论稿、征求意见稿、送审稿的讨论和修改。</w:t>
            </w:r>
          </w:p>
        </w:tc>
      </w:tr>
      <w:tr w14:paraId="1341B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374E9CE">
            <w:pPr>
              <w:adjustRightInd w:val="0"/>
              <w:snapToGrid w:val="0"/>
              <w:jc w:val="center"/>
              <w:rPr>
                <w:rFonts w:hint="eastAsia" w:ascii="仿宋" w:hAnsi="仿宋" w:eastAsia="仿宋" w:cs="Courier New"/>
                <w:szCs w:val="21"/>
              </w:rPr>
            </w:pPr>
            <w:r>
              <w:rPr>
                <w:rFonts w:hint="eastAsia" w:ascii="仿宋" w:hAnsi="仿宋" w:eastAsia="仿宋" w:cs="Courier New"/>
                <w:szCs w:val="21"/>
              </w:rPr>
              <w:t>赵龙龙</w:t>
            </w:r>
          </w:p>
        </w:tc>
        <w:tc>
          <w:tcPr>
            <w:tcW w:w="850" w:type="dxa"/>
          </w:tcPr>
          <w:p w14:paraId="20EF284E">
            <w:pPr>
              <w:adjustRightInd w:val="0"/>
              <w:snapToGrid w:val="0"/>
              <w:jc w:val="center"/>
              <w:rPr>
                <w:rFonts w:hint="eastAsia" w:ascii="仿宋" w:hAnsi="仿宋" w:eastAsia="仿宋" w:cs="Courier New"/>
                <w:szCs w:val="21"/>
              </w:rPr>
            </w:pPr>
            <w:r>
              <w:rPr>
                <w:rFonts w:hint="eastAsia" w:ascii="仿宋" w:hAnsi="仿宋" w:eastAsia="仿宋" w:cs="Courier New"/>
                <w:szCs w:val="21"/>
              </w:rPr>
              <w:t>男</w:t>
            </w:r>
          </w:p>
        </w:tc>
        <w:tc>
          <w:tcPr>
            <w:tcW w:w="1418" w:type="dxa"/>
          </w:tcPr>
          <w:p w14:paraId="39AEDD70">
            <w:pPr>
              <w:adjustRightInd w:val="0"/>
              <w:snapToGrid w:val="0"/>
              <w:jc w:val="center"/>
              <w:rPr>
                <w:rFonts w:hint="eastAsia" w:ascii="仿宋" w:hAnsi="仿宋" w:eastAsia="仿宋" w:cs="Courier New"/>
                <w:szCs w:val="21"/>
              </w:rPr>
            </w:pPr>
            <w:r>
              <w:rPr>
                <w:rFonts w:hint="eastAsia" w:ascii="仿宋" w:hAnsi="仿宋" w:eastAsia="仿宋" w:cs="Courier New"/>
                <w:szCs w:val="21"/>
              </w:rPr>
              <w:t>副研究员</w:t>
            </w:r>
          </w:p>
        </w:tc>
        <w:tc>
          <w:tcPr>
            <w:tcW w:w="1559" w:type="dxa"/>
          </w:tcPr>
          <w:p w14:paraId="41614A35">
            <w:pPr>
              <w:adjustRightInd w:val="0"/>
              <w:snapToGrid w:val="0"/>
              <w:jc w:val="center"/>
              <w:rPr>
                <w:rFonts w:hint="eastAsia" w:ascii="仿宋" w:hAnsi="仿宋" w:eastAsia="仿宋" w:cs="Courier New"/>
                <w:szCs w:val="21"/>
              </w:rPr>
            </w:pPr>
            <w:r>
              <w:rPr>
                <w:rFonts w:hint="eastAsia" w:ascii="仿宋" w:hAnsi="仿宋" w:eastAsia="仿宋" w:cs="Courier New"/>
                <w:szCs w:val="21"/>
              </w:rPr>
              <w:t>山西农业大学果树研究所</w:t>
            </w:r>
          </w:p>
        </w:tc>
        <w:tc>
          <w:tcPr>
            <w:tcW w:w="3885" w:type="dxa"/>
          </w:tcPr>
          <w:p w14:paraId="2C16702F">
            <w:pPr>
              <w:adjustRightInd w:val="0"/>
              <w:snapToGrid w:val="0"/>
              <w:jc w:val="center"/>
              <w:rPr>
                <w:rFonts w:hint="eastAsia" w:ascii="仿宋" w:hAnsi="仿宋" w:eastAsia="仿宋" w:cs="Courier New"/>
                <w:szCs w:val="21"/>
              </w:rPr>
            </w:pPr>
            <w:r>
              <w:rPr>
                <w:rFonts w:hint="eastAsia" w:ascii="仿宋" w:hAnsi="仿宋" w:eastAsia="仿宋" w:cs="Courier New"/>
                <w:szCs w:val="21"/>
              </w:rPr>
              <w:t>协同负责标准撰写和讨论、征求意见汇总分析和修订，协同组织讨论具体内容。</w:t>
            </w:r>
          </w:p>
        </w:tc>
      </w:tr>
      <w:tr w14:paraId="5B3D2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10458A8">
            <w:pPr>
              <w:adjustRightInd w:val="0"/>
              <w:snapToGrid w:val="0"/>
              <w:jc w:val="center"/>
              <w:rPr>
                <w:rFonts w:hint="eastAsia" w:ascii="仿宋" w:hAnsi="仿宋" w:eastAsia="仿宋" w:cs="Courier New"/>
                <w:szCs w:val="21"/>
              </w:rPr>
            </w:pPr>
            <w:r>
              <w:rPr>
                <w:rFonts w:hint="eastAsia" w:ascii="仿宋" w:hAnsi="仿宋" w:eastAsia="仿宋" w:cs="Courier New"/>
                <w:szCs w:val="21"/>
              </w:rPr>
              <w:t>胡增丽</w:t>
            </w:r>
          </w:p>
        </w:tc>
        <w:tc>
          <w:tcPr>
            <w:tcW w:w="850" w:type="dxa"/>
          </w:tcPr>
          <w:p w14:paraId="50B47475">
            <w:pPr>
              <w:adjustRightInd w:val="0"/>
              <w:snapToGrid w:val="0"/>
              <w:jc w:val="center"/>
              <w:rPr>
                <w:rFonts w:hint="eastAsia" w:ascii="仿宋" w:hAnsi="仿宋" w:eastAsia="仿宋" w:cs="Courier New"/>
                <w:szCs w:val="21"/>
              </w:rPr>
            </w:pPr>
            <w:r>
              <w:rPr>
                <w:rFonts w:hint="eastAsia" w:ascii="仿宋" w:hAnsi="仿宋" w:eastAsia="仿宋" w:cs="Courier New"/>
                <w:szCs w:val="21"/>
              </w:rPr>
              <w:t>女</w:t>
            </w:r>
          </w:p>
        </w:tc>
        <w:tc>
          <w:tcPr>
            <w:tcW w:w="1418" w:type="dxa"/>
          </w:tcPr>
          <w:p w14:paraId="373D1131">
            <w:pPr>
              <w:adjustRightInd w:val="0"/>
              <w:snapToGrid w:val="0"/>
              <w:jc w:val="center"/>
              <w:rPr>
                <w:rFonts w:hint="eastAsia" w:ascii="仿宋" w:hAnsi="仿宋" w:eastAsia="仿宋" w:cs="Courier New"/>
                <w:szCs w:val="21"/>
              </w:rPr>
            </w:pPr>
            <w:r>
              <w:rPr>
                <w:rFonts w:hint="eastAsia" w:ascii="仿宋" w:hAnsi="仿宋" w:eastAsia="仿宋" w:cs="Courier New"/>
                <w:szCs w:val="21"/>
              </w:rPr>
              <w:t>副研究员</w:t>
            </w:r>
          </w:p>
        </w:tc>
        <w:tc>
          <w:tcPr>
            <w:tcW w:w="1559" w:type="dxa"/>
          </w:tcPr>
          <w:p w14:paraId="0281EA2F">
            <w:pPr>
              <w:adjustRightInd w:val="0"/>
              <w:snapToGrid w:val="0"/>
              <w:jc w:val="center"/>
              <w:rPr>
                <w:rFonts w:hint="eastAsia" w:ascii="仿宋" w:hAnsi="仿宋" w:eastAsia="仿宋" w:cs="Courier New"/>
                <w:szCs w:val="21"/>
              </w:rPr>
            </w:pPr>
            <w:r>
              <w:rPr>
                <w:rFonts w:hint="eastAsia" w:ascii="仿宋" w:hAnsi="仿宋" w:eastAsia="仿宋" w:cs="Courier New"/>
                <w:szCs w:val="21"/>
              </w:rPr>
              <w:t>山西农业大学果树研究所</w:t>
            </w:r>
          </w:p>
        </w:tc>
        <w:tc>
          <w:tcPr>
            <w:tcW w:w="3885" w:type="dxa"/>
          </w:tcPr>
          <w:p w14:paraId="627D9CED">
            <w:pPr>
              <w:adjustRightInd w:val="0"/>
              <w:snapToGrid w:val="0"/>
              <w:jc w:val="center"/>
              <w:rPr>
                <w:rFonts w:hint="eastAsia" w:ascii="仿宋" w:hAnsi="仿宋" w:eastAsia="仿宋" w:cs="Courier New"/>
                <w:szCs w:val="21"/>
              </w:rPr>
            </w:pPr>
            <w:r>
              <w:rPr>
                <w:rFonts w:hint="eastAsia" w:ascii="仿宋" w:hAnsi="仿宋" w:eastAsia="仿宋" w:cs="Courier New"/>
                <w:szCs w:val="21"/>
              </w:rPr>
              <w:t>参与标准内容结构框架的制定及工作方案编制，参与征求意见稿、送审稿讨论和修改。</w:t>
            </w:r>
          </w:p>
        </w:tc>
      </w:tr>
      <w:tr w14:paraId="00A74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7CDB058">
            <w:pPr>
              <w:adjustRightInd w:val="0"/>
              <w:snapToGrid w:val="0"/>
              <w:jc w:val="center"/>
              <w:rPr>
                <w:rFonts w:hint="eastAsia" w:ascii="仿宋" w:hAnsi="仿宋" w:eastAsia="仿宋" w:cs="Courier New"/>
                <w:szCs w:val="21"/>
              </w:rPr>
            </w:pPr>
            <w:r>
              <w:rPr>
                <w:rFonts w:hint="eastAsia" w:ascii="仿宋" w:hAnsi="仿宋" w:eastAsia="仿宋" w:cs="Courier New"/>
                <w:szCs w:val="21"/>
              </w:rPr>
              <w:t>刘朝红</w:t>
            </w:r>
          </w:p>
        </w:tc>
        <w:tc>
          <w:tcPr>
            <w:tcW w:w="850" w:type="dxa"/>
          </w:tcPr>
          <w:p w14:paraId="4EE6D611">
            <w:pPr>
              <w:adjustRightInd w:val="0"/>
              <w:snapToGrid w:val="0"/>
              <w:jc w:val="center"/>
              <w:rPr>
                <w:rFonts w:hint="eastAsia" w:ascii="仿宋" w:hAnsi="仿宋" w:eastAsia="仿宋" w:cs="Courier New"/>
                <w:szCs w:val="21"/>
              </w:rPr>
            </w:pPr>
            <w:r>
              <w:rPr>
                <w:rFonts w:hint="eastAsia" w:ascii="仿宋" w:hAnsi="仿宋" w:eastAsia="仿宋" w:cs="Courier New"/>
                <w:szCs w:val="21"/>
              </w:rPr>
              <w:t>女</w:t>
            </w:r>
          </w:p>
        </w:tc>
        <w:tc>
          <w:tcPr>
            <w:tcW w:w="1418" w:type="dxa"/>
          </w:tcPr>
          <w:p w14:paraId="76EB2817">
            <w:pPr>
              <w:adjustRightInd w:val="0"/>
              <w:snapToGrid w:val="0"/>
              <w:jc w:val="center"/>
              <w:rPr>
                <w:rFonts w:hint="eastAsia" w:ascii="仿宋" w:hAnsi="仿宋" w:eastAsia="仿宋" w:cs="Courier New"/>
                <w:szCs w:val="21"/>
              </w:rPr>
            </w:pPr>
            <w:r>
              <w:rPr>
                <w:rFonts w:hint="eastAsia" w:ascii="仿宋" w:hAnsi="仿宋" w:eastAsia="仿宋" w:cs="Courier New"/>
                <w:szCs w:val="21"/>
              </w:rPr>
              <w:t>副研究员</w:t>
            </w:r>
          </w:p>
        </w:tc>
        <w:tc>
          <w:tcPr>
            <w:tcW w:w="1559" w:type="dxa"/>
          </w:tcPr>
          <w:p w14:paraId="5C2BB2F7">
            <w:pPr>
              <w:adjustRightInd w:val="0"/>
              <w:snapToGrid w:val="0"/>
              <w:jc w:val="center"/>
              <w:rPr>
                <w:rFonts w:hint="eastAsia" w:ascii="仿宋" w:hAnsi="仿宋" w:eastAsia="仿宋" w:cs="Courier New"/>
                <w:szCs w:val="21"/>
              </w:rPr>
            </w:pPr>
            <w:r>
              <w:rPr>
                <w:rFonts w:hint="eastAsia" w:ascii="仿宋" w:hAnsi="仿宋" w:eastAsia="仿宋" w:cs="Courier New"/>
                <w:szCs w:val="21"/>
              </w:rPr>
              <w:t>山西农业大学果树研究所</w:t>
            </w:r>
          </w:p>
        </w:tc>
        <w:tc>
          <w:tcPr>
            <w:tcW w:w="3885" w:type="dxa"/>
          </w:tcPr>
          <w:p w14:paraId="4522EFED">
            <w:pPr>
              <w:adjustRightInd w:val="0"/>
              <w:snapToGrid w:val="0"/>
              <w:jc w:val="center"/>
              <w:rPr>
                <w:rFonts w:hint="eastAsia" w:ascii="仿宋" w:hAnsi="仿宋" w:eastAsia="仿宋" w:cs="Courier New"/>
                <w:szCs w:val="21"/>
              </w:rPr>
            </w:pPr>
            <w:r>
              <w:rPr>
                <w:rFonts w:hint="eastAsia" w:ascii="仿宋" w:hAnsi="仿宋" w:eastAsia="仿宋" w:cs="Courier New"/>
                <w:szCs w:val="21"/>
              </w:rPr>
              <w:t>参与附录A修订，参与征求意见稿、送审稿讨论和修改。</w:t>
            </w:r>
          </w:p>
        </w:tc>
      </w:tr>
      <w:tr w14:paraId="500E6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1585BC2">
            <w:pPr>
              <w:adjustRightInd w:val="0"/>
              <w:snapToGrid w:val="0"/>
              <w:jc w:val="center"/>
              <w:rPr>
                <w:rFonts w:hint="eastAsia" w:ascii="仿宋" w:hAnsi="仿宋" w:eastAsia="仿宋" w:cs="Courier New"/>
                <w:szCs w:val="21"/>
              </w:rPr>
            </w:pPr>
            <w:r>
              <w:rPr>
                <w:rFonts w:hint="eastAsia" w:ascii="仿宋" w:hAnsi="仿宋" w:eastAsia="仿宋" w:cs="Courier New"/>
                <w:szCs w:val="21"/>
              </w:rPr>
              <w:t>黄军保</w:t>
            </w:r>
          </w:p>
        </w:tc>
        <w:tc>
          <w:tcPr>
            <w:tcW w:w="850" w:type="dxa"/>
          </w:tcPr>
          <w:p w14:paraId="2D03AB8F">
            <w:pPr>
              <w:adjustRightInd w:val="0"/>
              <w:snapToGrid w:val="0"/>
              <w:jc w:val="center"/>
              <w:rPr>
                <w:rFonts w:hint="eastAsia" w:ascii="仿宋" w:hAnsi="仿宋" w:eastAsia="仿宋" w:cs="Courier New"/>
                <w:szCs w:val="21"/>
              </w:rPr>
            </w:pPr>
            <w:r>
              <w:rPr>
                <w:rFonts w:hint="eastAsia" w:ascii="仿宋" w:hAnsi="仿宋" w:eastAsia="仿宋" w:cs="Courier New"/>
                <w:szCs w:val="21"/>
              </w:rPr>
              <w:t>男</w:t>
            </w:r>
          </w:p>
        </w:tc>
        <w:tc>
          <w:tcPr>
            <w:tcW w:w="1418" w:type="dxa"/>
          </w:tcPr>
          <w:p w14:paraId="343AF92B">
            <w:pPr>
              <w:adjustRightInd w:val="0"/>
              <w:snapToGrid w:val="0"/>
              <w:jc w:val="center"/>
              <w:rPr>
                <w:rFonts w:hint="eastAsia" w:ascii="仿宋" w:hAnsi="仿宋" w:eastAsia="仿宋" w:cs="Courier New"/>
                <w:szCs w:val="21"/>
              </w:rPr>
            </w:pPr>
            <w:r>
              <w:rPr>
                <w:rFonts w:hint="eastAsia" w:ascii="仿宋" w:hAnsi="仿宋" w:eastAsia="仿宋" w:cs="Courier New"/>
                <w:szCs w:val="21"/>
              </w:rPr>
              <w:t>副研究员</w:t>
            </w:r>
          </w:p>
        </w:tc>
        <w:tc>
          <w:tcPr>
            <w:tcW w:w="1559" w:type="dxa"/>
          </w:tcPr>
          <w:p w14:paraId="26E5CEF9">
            <w:pPr>
              <w:adjustRightInd w:val="0"/>
              <w:snapToGrid w:val="0"/>
              <w:jc w:val="center"/>
              <w:rPr>
                <w:rFonts w:hint="eastAsia" w:ascii="仿宋" w:hAnsi="仿宋" w:eastAsia="仿宋" w:cs="Courier New"/>
                <w:szCs w:val="21"/>
              </w:rPr>
            </w:pPr>
            <w:r>
              <w:rPr>
                <w:rFonts w:hint="eastAsia" w:ascii="仿宋" w:hAnsi="仿宋" w:eastAsia="仿宋" w:cs="Courier New"/>
                <w:szCs w:val="21"/>
              </w:rPr>
              <w:t>山西农业大学果树研究所</w:t>
            </w:r>
          </w:p>
        </w:tc>
        <w:tc>
          <w:tcPr>
            <w:tcW w:w="3885" w:type="dxa"/>
            <w:vAlign w:val="center"/>
          </w:tcPr>
          <w:p w14:paraId="7D4E47CC">
            <w:pPr>
              <w:adjustRightInd w:val="0"/>
              <w:snapToGrid w:val="0"/>
              <w:jc w:val="center"/>
              <w:rPr>
                <w:rFonts w:hint="eastAsia" w:ascii="仿宋" w:hAnsi="仿宋" w:eastAsia="仿宋" w:cs="Courier New"/>
                <w:szCs w:val="21"/>
              </w:rPr>
            </w:pPr>
            <w:r>
              <w:rPr>
                <w:rFonts w:hint="eastAsia" w:ascii="仿宋" w:hAnsi="仿宋" w:eastAsia="仿宋" w:cs="Courier New"/>
                <w:szCs w:val="21"/>
              </w:rPr>
              <w:t>参与附录A修订，参与征求意见稿、送审稿讨论和修改。</w:t>
            </w:r>
          </w:p>
        </w:tc>
      </w:tr>
      <w:tr w14:paraId="76874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shd w:val="clear" w:color="auto" w:fill="auto"/>
            <w:vAlign w:val="top"/>
          </w:tcPr>
          <w:p w14:paraId="5FFB1340">
            <w:pPr>
              <w:adjustRightInd w:val="0"/>
              <w:snapToGrid w:val="0"/>
              <w:jc w:val="center"/>
              <w:rPr>
                <w:rFonts w:hint="eastAsia" w:ascii="仿宋" w:hAnsi="仿宋" w:eastAsia="仿宋" w:cs="Courier New"/>
                <w:szCs w:val="21"/>
                <w:lang w:val="en-US" w:eastAsia="zh-CN"/>
              </w:rPr>
            </w:pPr>
            <w:r>
              <w:rPr>
                <w:rFonts w:hint="eastAsia" w:ascii="仿宋" w:hAnsi="仿宋" w:eastAsia="仿宋" w:cs="Courier New"/>
                <w:szCs w:val="21"/>
              </w:rPr>
              <w:t>邢鲲</w:t>
            </w:r>
          </w:p>
        </w:tc>
        <w:tc>
          <w:tcPr>
            <w:tcW w:w="850" w:type="dxa"/>
            <w:shd w:val="clear" w:color="auto" w:fill="auto"/>
            <w:vAlign w:val="top"/>
          </w:tcPr>
          <w:p w14:paraId="5069E945">
            <w:pPr>
              <w:adjustRightInd w:val="0"/>
              <w:snapToGrid w:val="0"/>
              <w:jc w:val="center"/>
              <w:rPr>
                <w:rFonts w:hint="eastAsia" w:ascii="仿宋" w:hAnsi="仿宋" w:eastAsia="仿宋" w:cs="Courier New"/>
                <w:szCs w:val="21"/>
                <w:lang w:val="en-US" w:eastAsia="zh-CN"/>
              </w:rPr>
            </w:pPr>
            <w:r>
              <w:rPr>
                <w:rFonts w:hint="eastAsia" w:ascii="仿宋" w:hAnsi="仿宋" w:eastAsia="仿宋" w:cs="Courier New"/>
                <w:szCs w:val="21"/>
              </w:rPr>
              <w:t>男</w:t>
            </w:r>
          </w:p>
        </w:tc>
        <w:tc>
          <w:tcPr>
            <w:tcW w:w="1418" w:type="dxa"/>
            <w:shd w:val="clear" w:color="auto" w:fill="auto"/>
            <w:vAlign w:val="top"/>
          </w:tcPr>
          <w:p w14:paraId="45A7E2E2">
            <w:pPr>
              <w:adjustRightInd w:val="0"/>
              <w:snapToGrid w:val="0"/>
              <w:jc w:val="center"/>
              <w:rPr>
                <w:rFonts w:hint="eastAsia" w:ascii="仿宋" w:hAnsi="仿宋" w:eastAsia="仿宋" w:cs="Courier New"/>
                <w:szCs w:val="21"/>
                <w:lang w:val="en-US" w:eastAsia="zh-CN"/>
              </w:rPr>
            </w:pPr>
            <w:r>
              <w:rPr>
                <w:rFonts w:hint="eastAsia" w:ascii="仿宋" w:hAnsi="仿宋" w:eastAsia="仿宋" w:cs="Courier New"/>
                <w:szCs w:val="21"/>
              </w:rPr>
              <w:t>副研究员</w:t>
            </w:r>
          </w:p>
        </w:tc>
        <w:tc>
          <w:tcPr>
            <w:tcW w:w="1559" w:type="dxa"/>
            <w:shd w:val="clear" w:color="auto" w:fill="auto"/>
            <w:vAlign w:val="top"/>
          </w:tcPr>
          <w:p w14:paraId="699A187C">
            <w:pPr>
              <w:adjustRightInd w:val="0"/>
              <w:snapToGrid w:val="0"/>
              <w:jc w:val="center"/>
              <w:rPr>
                <w:rFonts w:hint="eastAsia" w:ascii="仿宋" w:hAnsi="仿宋" w:eastAsia="仿宋" w:cs="Courier New"/>
                <w:szCs w:val="21"/>
                <w:lang w:val="en-US" w:eastAsia="zh-CN"/>
              </w:rPr>
            </w:pPr>
            <w:r>
              <w:rPr>
                <w:rFonts w:hint="eastAsia" w:ascii="仿宋" w:hAnsi="仿宋" w:eastAsia="仿宋" w:cs="Courier New"/>
                <w:szCs w:val="21"/>
              </w:rPr>
              <w:t>山西农业大学植物保护学院</w:t>
            </w:r>
          </w:p>
        </w:tc>
        <w:tc>
          <w:tcPr>
            <w:tcW w:w="3885" w:type="dxa"/>
            <w:shd w:val="clear" w:color="auto" w:fill="auto"/>
            <w:vAlign w:val="top"/>
          </w:tcPr>
          <w:p w14:paraId="0C749DE0">
            <w:pPr>
              <w:adjustRightInd w:val="0"/>
              <w:snapToGrid w:val="0"/>
              <w:jc w:val="center"/>
              <w:rPr>
                <w:rFonts w:hint="eastAsia" w:ascii="仿宋" w:hAnsi="仿宋" w:eastAsia="仿宋" w:cs="Courier New"/>
                <w:szCs w:val="21"/>
                <w:lang w:val="en-US" w:eastAsia="zh-CN"/>
              </w:rPr>
            </w:pPr>
            <w:r>
              <w:rPr>
                <w:rFonts w:hint="eastAsia" w:ascii="仿宋" w:hAnsi="仿宋" w:eastAsia="仿宋" w:cs="Courier New"/>
                <w:szCs w:val="21"/>
              </w:rPr>
              <w:t>参与征求意见稿、送审稿讨论和修改。</w:t>
            </w:r>
          </w:p>
        </w:tc>
      </w:tr>
    </w:tbl>
    <w:p w14:paraId="4E93E274">
      <w:pPr>
        <w:spacing w:line="360" w:lineRule="auto"/>
        <w:ind w:firstLine="480" w:firstLineChars="200"/>
        <w:outlineLvl w:val="0"/>
        <w:rPr>
          <w:rFonts w:ascii="楷体" w:hAnsi="楷体" w:eastAsia="楷体" w:cs="Courier New"/>
          <w:sz w:val="28"/>
          <w:szCs w:val="28"/>
        </w:rPr>
      </w:pPr>
      <w:r>
        <w:rPr>
          <w:rFonts w:ascii="黑体" w:eastAsia="黑体"/>
          <w:sz w:val="24"/>
        </w:rPr>
        <w:t>二、</w:t>
      </w:r>
      <w:r>
        <w:rPr>
          <w:rFonts w:hint="eastAsia" w:ascii="黑体" w:eastAsia="黑体"/>
          <w:sz w:val="24"/>
        </w:rPr>
        <w:t>修</w:t>
      </w:r>
      <w:r>
        <w:rPr>
          <w:rFonts w:ascii="黑体" w:eastAsia="黑体"/>
          <w:sz w:val="24"/>
        </w:rPr>
        <w:t>订标准的必要性和意义</w:t>
      </w:r>
    </w:p>
    <w:p w14:paraId="1120A1F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1"/>
        <w:rPr>
          <w:rFonts w:hint="eastAsia" w:ascii="仿宋_GB2312" w:hAnsi="宋体" w:eastAsia="仿宋_GB2312"/>
          <w:sz w:val="24"/>
        </w:rPr>
      </w:pPr>
      <w:r>
        <w:rPr>
          <w:rFonts w:hint="eastAsia" w:ascii="仿宋_GB2312" w:hAnsi="宋体" w:eastAsia="仿宋_GB2312"/>
          <w:sz w:val="24"/>
        </w:rPr>
        <w:t>现行的《苹果树腐烂病综合防治技术规程》DB14/T 799-2013是2013年公布实行的，部分方法已经不适应新形势下苹果园对腐烂病的防治工作的需要，亟需修改完善。按照“关于废止《微波和超短波通信设备辐射安全要求》等396项强制性国家标准的公告”（国家标准公告 2017年第6号）指示，现行规程中规范性引用文件“GB 4285 农药安全使用标准”已废止。</w:t>
      </w:r>
    </w:p>
    <w:p w14:paraId="6031BF10">
      <w:pPr>
        <w:spacing w:line="360" w:lineRule="auto"/>
        <w:ind w:firstLine="480" w:firstLineChars="200"/>
        <w:rPr>
          <w:rFonts w:hint="eastAsia" w:ascii="仿宋_GB2312" w:hAnsi="宋体" w:eastAsia="仿宋_GB2312"/>
          <w:sz w:val="24"/>
          <w:lang w:eastAsia="zh-CN"/>
        </w:rPr>
      </w:pPr>
      <w:r>
        <w:rPr>
          <w:rFonts w:hint="eastAsia" w:ascii="仿宋_GB2312" w:hAnsi="宋体" w:eastAsia="仿宋_GB2312"/>
          <w:sz w:val="24"/>
        </w:rPr>
        <w:t>山西省是苹果的主产区之一，而腐烂病是苹果树上的重要枝干病害，造成死枝、死树和毁园，而且有加重危害的趋势</w:t>
      </w:r>
      <w:r>
        <w:rPr>
          <w:rFonts w:hint="eastAsia" w:ascii="仿宋_GB2312" w:hAnsi="宋体" w:eastAsia="仿宋_GB2312"/>
          <w:sz w:val="24"/>
          <w:lang w:eastAsia="zh-CN"/>
        </w:rPr>
        <w:t>，</w:t>
      </w:r>
      <w:r>
        <w:rPr>
          <w:rFonts w:hint="eastAsia" w:ascii="仿宋_GB2312" w:hAnsi="宋体" w:eastAsia="仿宋_GB2312"/>
          <w:sz w:val="24"/>
        </w:rPr>
        <w:t>2023年</w:t>
      </w:r>
      <w:r>
        <w:rPr>
          <w:rFonts w:hint="eastAsia" w:ascii="仿宋_GB2312" w:hAnsi="宋体" w:eastAsia="仿宋_GB2312"/>
          <w:sz w:val="24"/>
          <w:lang w:val="en-US" w:eastAsia="zh-CN"/>
        </w:rPr>
        <w:t>数据显示</w:t>
      </w:r>
      <w:r>
        <w:rPr>
          <w:rFonts w:hint="eastAsia" w:ascii="仿宋_GB2312" w:hAnsi="宋体" w:eastAsia="仿宋_GB2312"/>
          <w:sz w:val="24"/>
        </w:rPr>
        <w:t>一般果园平均发病株率较上年高</w:t>
      </w:r>
      <w:r>
        <w:rPr>
          <w:rFonts w:hint="eastAsia" w:ascii="仿宋_GB2312" w:hAnsi="宋体" w:eastAsia="仿宋_GB2312"/>
          <w:sz w:val="24"/>
          <w:lang w:val="en-US" w:eastAsia="zh-CN"/>
        </w:rPr>
        <w:t>4</w:t>
      </w:r>
      <w:r>
        <w:rPr>
          <w:rFonts w:hint="eastAsia" w:ascii="仿宋_GB2312" w:hAnsi="宋体" w:eastAsia="仿宋_GB2312"/>
          <w:sz w:val="24"/>
        </w:rPr>
        <w:t>%</w:t>
      </w:r>
      <w:r>
        <w:rPr>
          <w:rFonts w:hint="eastAsia" w:ascii="仿宋_GB2312" w:hAnsi="宋体" w:eastAsia="仿宋_GB2312"/>
          <w:sz w:val="24"/>
          <w:lang w:val="en-US" w:eastAsia="zh-CN"/>
        </w:rPr>
        <w:t>左右</w:t>
      </w:r>
      <w:r>
        <w:rPr>
          <w:rFonts w:hint="eastAsia" w:ascii="仿宋_GB2312" w:hAnsi="宋体" w:eastAsia="仿宋_GB2312"/>
          <w:sz w:val="24"/>
        </w:rPr>
        <w:t>，严重果园为</w:t>
      </w:r>
      <w:r>
        <w:rPr>
          <w:rFonts w:hint="eastAsia" w:ascii="仿宋_GB2312" w:hAnsi="宋体" w:eastAsia="仿宋_GB2312"/>
          <w:sz w:val="24"/>
          <w:lang w:val="en-US" w:eastAsia="zh-CN"/>
        </w:rPr>
        <w:t>29</w:t>
      </w:r>
      <w:r>
        <w:rPr>
          <w:rFonts w:hint="eastAsia" w:ascii="仿宋_GB2312" w:hAnsi="宋体" w:eastAsia="仿宋_GB2312"/>
          <w:sz w:val="24"/>
        </w:rPr>
        <w:t>%</w:t>
      </w:r>
      <w:r>
        <w:rPr>
          <w:rFonts w:hint="eastAsia" w:ascii="仿宋_GB2312" w:hAnsi="宋体" w:eastAsia="仿宋_GB2312"/>
          <w:sz w:val="24"/>
          <w:lang w:val="en-US" w:eastAsia="zh-CN"/>
        </w:rPr>
        <w:t>左右</w:t>
      </w:r>
      <w:r>
        <w:rPr>
          <w:rFonts w:hint="eastAsia" w:ascii="仿宋_GB2312" w:hAnsi="宋体" w:eastAsia="仿宋_GB2312"/>
          <w:sz w:val="24"/>
        </w:rPr>
        <w:t>，最高80%。随种植结构、管理措施、耕作模式的改变以及长期的农药施用，苹果园生态和以及病原菌的抗药性均发生改变。</w:t>
      </w:r>
      <w:r>
        <w:rPr>
          <w:rFonts w:hint="eastAsia" w:ascii="仿宋_GB2312" w:hAnsi="宋体" w:eastAsia="仿宋_GB2312"/>
          <w:sz w:val="24"/>
          <w:lang w:val="en-US" w:eastAsia="zh-CN"/>
        </w:rPr>
        <w:t>虽然</w:t>
      </w:r>
      <w:r>
        <w:rPr>
          <w:rFonts w:hint="eastAsia" w:ascii="仿宋_GB2312" w:hAnsi="仿宋" w:eastAsia="仿宋_GB2312"/>
          <w:sz w:val="24"/>
        </w:rPr>
        <w:t>生物源农药以及新型、高效化学药剂的种类日益增多，但</w:t>
      </w:r>
      <w:r>
        <w:rPr>
          <w:rFonts w:hint="eastAsia" w:ascii="仿宋_GB2312" w:hAnsi="仿宋" w:eastAsia="仿宋_GB2312"/>
          <w:sz w:val="24"/>
          <w:lang w:val="en-US" w:eastAsia="zh-CN"/>
        </w:rPr>
        <w:t>实际生产中</w:t>
      </w:r>
      <w:r>
        <w:rPr>
          <w:rFonts w:hint="eastAsia" w:ascii="仿宋_GB2312" w:hAnsi="仿宋" w:eastAsia="仿宋_GB2312"/>
          <w:sz w:val="24"/>
        </w:rPr>
        <w:t>传统化学农药的</w:t>
      </w:r>
      <w:r>
        <w:rPr>
          <w:rFonts w:hint="eastAsia" w:ascii="仿宋_GB2312" w:hAnsi="仿宋" w:eastAsia="仿宋_GB2312"/>
          <w:sz w:val="24"/>
          <w:lang w:val="en-US" w:eastAsia="zh-CN"/>
        </w:rPr>
        <w:t>使用占比最大亟需调整。</w:t>
      </w:r>
      <w:r>
        <w:rPr>
          <w:rFonts w:hint="eastAsia" w:ascii="仿宋_GB2312" w:hAnsi="宋体" w:eastAsia="仿宋_GB2312"/>
          <w:sz w:val="24"/>
        </w:rPr>
        <w:t>此外，近年来国际社会对于食品安全农药残留等问题越来越重视,需要通过更环保的方法来防治苹果树腐烂病</w:t>
      </w:r>
      <w:r>
        <w:rPr>
          <w:rFonts w:hint="eastAsia" w:ascii="仿宋_GB2312" w:hAnsi="宋体" w:eastAsia="仿宋_GB2312"/>
          <w:sz w:val="24"/>
          <w:lang w:eastAsia="zh-CN"/>
        </w:rPr>
        <w:t>。</w:t>
      </w:r>
      <w:r>
        <w:rPr>
          <w:rFonts w:hint="eastAsia" w:ascii="仿宋_GB2312" w:hAnsi="宋体" w:eastAsia="仿宋_GB2312"/>
          <w:sz w:val="24"/>
          <w:lang w:val="en-US" w:eastAsia="zh-CN"/>
        </w:rPr>
        <w:t>同时，为</w:t>
      </w:r>
      <w:r>
        <w:rPr>
          <w:rFonts w:hint="eastAsia" w:ascii="仿宋_GB2312" w:hAnsi="宋体" w:eastAsia="仿宋_GB2312"/>
          <w:sz w:val="24"/>
        </w:rPr>
        <w:t>贯彻落实《“十四五”全国农业绿色发展规划》以及农业农村部发布的《到2025年化学农药减量化行动方案》，</w:t>
      </w:r>
      <w:r>
        <w:rPr>
          <w:rFonts w:hint="eastAsia" w:ascii="仿宋_GB2312" w:hAnsi="仿宋" w:eastAsia="仿宋_GB2312"/>
          <w:sz w:val="24"/>
        </w:rPr>
        <w:t>按照客观、规范、科学、具体、适用的原则，有必要对山西省地方标准《苹果</w:t>
      </w:r>
      <w:r>
        <w:rPr>
          <w:rFonts w:hint="eastAsia" w:ascii="仿宋_GB2312" w:hAnsi="仿宋" w:eastAsia="仿宋_GB2312"/>
          <w:sz w:val="24"/>
          <w:lang w:val="en-US" w:eastAsia="zh-CN"/>
        </w:rPr>
        <w:t>树腐烂病</w:t>
      </w:r>
      <w:r>
        <w:rPr>
          <w:rFonts w:hint="eastAsia" w:ascii="仿宋_GB2312" w:hAnsi="仿宋" w:eastAsia="仿宋_GB2312"/>
          <w:sz w:val="24"/>
        </w:rPr>
        <w:t>综合防治技术规程》（DB</w:t>
      </w:r>
      <w:r>
        <w:rPr>
          <w:rFonts w:ascii="仿宋_GB2312" w:hAnsi="仿宋" w:eastAsia="仿宋_GB2312"/>
          <w:sz w:val="24"/>
        </w:rPr>
        <w:t>14</w:t>
      </w:r>
      <w:r>
        <w:rPr>
          <w:rFonts w:hint="eastAsia" w:ascii="仿宋_GB2312" w:hAnsi="仿宋" w:eastAsia="仿宋_GB2312"/>
          <w:sz w:val="24"/>
        </w:rPr>
        <w:t>/T</w:t>
      </w:r>
      <w:r>
        <w:rPr>
          <w:rFonts w:ascii="仿宋_GB2312" w:hAnsi="仿宋" w:eastAsia="仿宋_GB2312"/>
          <w:sz w:val="24"/>
        </w:rPr>
        <w:t xml:space="preserve"> </w:t>
      </w:r>
      <w:r>
        <w:rPr>
          <w:rFonts w:hint="eastAsia" w:ascii="仿宋_GB2312" w:hAnsi="仿宋" w:eastAsia="仿宋_GB2312"/>
          <w:sz w:val="24"/>
          <w:lang w:val="en-US" w:eastAsia="zh-CN"/>
        </w:rPr>
        <w:t>799</w:t>
      </w:r>
      <w:r>
        <w:rPr>
          <w:rFonts w:ascii="仿宋_GB2312" w:hAnsi="仿宋" w:eastAsia="仿宋_GB2312"/>
          <w:sz w:val="24"/>
        </w:rPr>
        <w:t>-2013</w:t>
      </w:r>
      <w:r>
        <w:rPr>
          <w:rFonts w:hint="eastAsia" w:ascii="仿宋_GB2312" w:hAnsi="仿宋" w:eastAsia="仿宋_GB2312"/>
          <w:sz w:val="24"/>
        </w:rPr>
        <w:t>）进行修订</w:t>
      </w:r>
      <w:r>
        <w:rPr>
          <w:rFonts w:hint="eastAsia" w:ascii="仿宋_GB2312" w:hAnsi="仿宋" w:eastAsia="仿宋_GB2312"/>
          <w:sz w:val="24"/>
          <w:lang w:eastAsia="zh-CN"/>
        </w:rPr>
        <w:t>。</w:t>
      </w:r>
    </w:p>
    <w:p w14:paraId="114BBBCB">
      <w:pPr>
        <w:spacing w:line="360" w:lineRule="auto"/>
        <w:ind w:firstLine="480" w:firstLineChars="200"/>
        <w:outlineLvl w:val="0"/>
        <w:rPr>
          <w:rFonts w:ascii="黑体" w:eastAsia="黑体"/>
          <w:sz w:val="24"/>
        </w:rPr>
      </w:pPr>
      <w:r>
        <w:rPr>
          <w:rFonts w:hint="eastAsia" w:ascii="黑体" w:eastAsia="黑体"/>
          <w:sz w:val="24"/>
        </w:rPr>
        <w:t>三、主要修订工作过程</w:t>
      </w:r>
    </w:p>
    <w:p w14:paraId="7ADE1638">
      <w:pPr>
        <w:spacing w:line="360" w:lineRule="auto"/>
        <w:ind w:left="465"/>
        <w:outlineLvl w:val="1"/>
        <w:rPr>
          <w:rFonts w:hint="eastAsia" w:ascii="楷体_GB2312" w:eastAsia="楷体_GB2312"/>
          <w:sz w:val="24"/>
        </w:rPr>
      </w:pPr>
      <w:r>
        <w:rPr>
          <w:rFonts w:hint="eastAsia" w:ascii="楷体_GB2312" w:eastAsia="楷体_GB2312"/>
          <w:sz w:val="24"/>
        </w:rPr>
        <w:t>1、成立标准修订工作组</w:t>
      </w:r>
    </w:p>
    <w:p w14:paraId="04215FC7">
      <w:pPr>
        <w:spacing w:line="360" w:lineRule="auto"/>
        <w:ind w:firstLine="480" w:firstLineChars="200"/>
        <w:rPr>
          <w:rFonts w:eastAsia="仿宋_GB2312"/>
          <w:bCs/>
          <w:sz w:val="24"/>
        </w:rPr>
      </w:pPr>
      <w:r>
        <w:rPr>
          <w:rFonts w:hint="eastAsia" w:eastAsia="仿宋_GB2312"/>
          <w:bCs/>
          <w:sz w:val="24"/>
        </w:rPr>
        <w:t>在接受修订任务后，由山西农业大学针对苹果树腐烂病的危害现状成立调研小组，并成立《苹果腐烂病综合防治技术规程》标准修订工作组。该工作组对原有项目成员进行了优化。</w:t>
      </w:r>
    </w:p>
    <w:p w14:paraId="67584A12">
      <w:pPr>
        <w:spacing w:line="360" w:lineRule="auto"/>
        <w:ind w:left="465"/>
        <w:outlineLvl w:val="1"/>
        <w:rPr>
          <w:rFonts w:hint="eastAsia" w:ascii="楷体_GB2312" w:eastAsia="楷体_GB2312"/>
          <w:sz w:val="24"/>
        </w:rPr>
      </w:pPr>
      <w:r>
        <w:rPr>
          <w:rFonts w:hint="eastAsia" w:ascii="楷体_GB2312" w:eastAsia="楷体_GB2312"/>
          <w:sz w:val="24"/>
        </w:rPr>
        <w:t>2、调研考察</w:t>
      </w:r>
    </w:p>
    <w:p w14:paraId="1B168D8E">
      <w:pPr>
        <w:spacing w:line="360" w:lineRule="auto"/>
        <w:ind w:firstLine="480" w:firstLineChars="200"/>
        <w:rPr>
          <w:rFonts w:eastAsia="仿宋_GB2312"/>
          <w:bCs/>
          <w:sz w:val="24"/>
        </w:rPr>
      </w:pPr>
      <w:r>
        <w:rPr>
          <w:rFonts w:hint="eastAsia" w:eastAsia="仿宋_GB2312"/>
          <w:bCs/>
          <w:sz w:val="24"/>
        </w:rPr>
        <w:t>标准修订立项后，标准工作组</w:t>
      </w:r>
      <w:r>
        <w:rPr>
          <w:rFonts w:hint="eastAsia" w:eastAsia="仿宋_GB2312"/>
          <w:bCs/>
          <w:sz w:val="24"/>
          <w:lang w:val="en-US" w:eastAsia="zh-CN"/>
        </w:rPr>
        <w:t>首先学习了</w:t>
      </w:r>
      <w:r>
        <w:rPr>
          <w:rFonts w:hint="eastAsia" w:ascii="仿宋_GB2312" w:hAnsi="仿宋" w:eastAsia="仿宋_GB2312"/>
          <w:sz w:val="24"/>
        </w:rPr>
        <w:t>标准文本起草格式和写作要求</w:t>
      </w:r>
      <w:r>
        <w:rPr>
          <w:rFonts w:hint="eastAsia" w:ascii="仿宋_GB2312" w:hAnsi="仿宋" w:eastAsia="仿宋_GB2312"/>
          <w:sz w:val="24"/>
          <w:lang w:eastAsia="zh-CN"/>
        </w:rPr>
        <w:t>，</w:t>
      </w:r>
      <w:r>
        <w:rPr>
          <w:rFonts w:hint="eastAsia" w:ascii="仿宋_GB2312" w:hAnsi="仿宋" w:eastAsia="仿宋_GB2312"/>
          <w:sz w:val="24"/>
        </w:rPr>
        <w:t>查阅</w:t>
      </w:r>
      <w:r>
        <w:rPr>
          <w:rFonts w:hint="eastAsia" w:ascii="仿宋_GB2312" w:hAnsi="仿宋" w:eastAsia="仿宋_GB2312"/>
          <w:sz w:val="24"/>
          <w:lang w:val="en-US" w:eastAsia="zh-CN"/>
        </w:rPr>
        <w:t>了</w:t>
      </w:r>
      <w:r>
        <w:rPr>
          <w:rFonts w:hint="eastAsia" w:ascii="仿宋_GB2312" w:hAnsi="仿宋" w:eastAsia="仿宋_GB2312"/>
          <w:sz w:val="24"/>
        </w:rPr>
        <w:t>国家和</w:t>
      </w:r>
      <w:r>
        <w:rPr>
          <w:rFonts w:hint="eastAsia" w:ascii="仿宋_GB2312" w:hAnsi="仿宋" w:eastAsia="仿宋_GB2312"/>
          <w:sz w:val="24"/>
          <w:lang w:val="en-US" w:eastAsia="zh-CN"/>
        </w:rPr>
        <w:t>各省市</w:t>
      </w:r>
      <w:r>
        <w:rPr>
          <w:rFonts w:hint="eastAsia" w:ascii="仿宋_GB2312" w:hAnsi="仿宋" w:eastAsia="仿宋_GB2312"/>
          <w:sz w:val="24"/>
        </w:rPr>
        <w:t>苹果病虫害防控相关标准</w:t>
      </w:r>
      <w:r>
        <w:rPr>
          <w:rFonts w:hint="eastAsia" w:ascii="仿宋_GB2312" w:hAnsi="仿宋" w:eastAsia="仿宋_GB2312"/>
          <w:sz w:val="24"/>
          <w:lang w:val="en-US" w:eastAsia="zh-CN"/>
        </w:rPr>
        <w:t>以及</w:t>
      </w:r>
      <w:r>
        <w:rPr>
          <w:rFonts w:hint="eastAsia" w:ascii="仿宋_GB2312" w:hAnsi="仿宋" w:eastAsia="仿宋_GB2312"/>
          <w:sz w:val="24"/>
        </w:rPr>
        <w:t>新型农药名称、剂型、总含量、有效期等数据</w:t>
      </w:r>
      <w:r>
        <w:rPr>
          <w:rFonts w:hint="eastAsia" w:ascii="仿宋_GB2312" w:hAnsi="仿宋" w:eastAsia="仿宋_GB2312"/>
          <w:sz w:val="24"/>
          <w:lang w:val="en-US" w:eastAsia="zh-CN"/>
        </w:rPr>
        <w:t>。</w:t>
      </w:r>
      <w:r>
        <w:rPr>
          <w:rFonts w:hint="eastAsia" w:ascii="仿宋_GB2312" w:hAnsi="仿宋" w:eastAsia="仿宋_GB2312"/>
          <w:sz w:val="24"/>
        </w:rPr>
        <w:t>标准起草前，</w:t>
      </w:r>
      <w:r>
        <w:rPr>
          <w:rFonts w:hint="eastAsia" w:eastAsia="仿宋_GB2312"/>
          <w:bCs/>
          <w:sz w:val="24"/>
        </w:rPr>
        <w:t>标准工作组在我省主要的苹果产区，如临汾、运城</w:t>
      </w:r>
      <w:r>
        <w:rPr>
          <w:rFonts w:hint="eastAsia" w:eastAsia="仿宋_GB2312"/>
          <w:bCs/>
          <w:sz w:val="24"/>
          <w:lang w:eastAsia="zh-CN"/>
        </w:rPr>
        <w:t>、</w:t>
      </w:r>
      <w:r>
        <w:rPr>
          <w:rFonts w:hint="eastAsia" w:eastAsia="仿宋_GB2312"/>
          <w:bCs/>
          <w:sz w:val="24"/>
          <w:lang w:val="en-US" w:eastAsia="zh-CN"/>
        </w:rPr>
        <w:t>晋中</w:t>
      </w:r>
      <w:r>
        <w:rPr>
          <w:rFonts w:hint="eastAsia" w:eastAsia="仿宋_GB2312"/>
          <w:bCs/>
          <w:sz w:val="24"/>
        </w:rPr>
        <w:t>等地调</w:t>
      </w:r>
      <w:r>
        <w:rPr>
          <w:rFonts w:hint="eastAsia" w:eastAsia="仿宋_GB2312"/>
          <w:bCs/>
          <w:sz w:val="24"/>
          <w:lang w:val="en-US" w:eastAsia="zh-CN"/>
        </w:rPr>
        <w:t>对</w:t>
      </w:r>
      <w:r>
        <w:rPr>
          <w:rFonts w:hint="eastAsia" w:eastAsia="仿宋_GB2312"/>
          <w:bCs/>
          <w:sz w:val="24"/>
        </w:rPr>
        <w:t>标准中相关技术的应用情况</w:t>
      </w:r>
      <w:r>
        <w:rPr>
          <w:rFonts w:hint="eastAsia" w:eastAsia="仿宋_GB2312"/>
          <w:bCs/>
          <w:sz w:val="24"/>
          <w:lang w:val="en-US" w:eastAsia="zh-CN"/>
        </w:rPr>
        <w:t>以及</w:t>
      </w:r>
      <w:r>
        <w:rPr>
          <w:rFonts w:hint="eastAsia" w:eastAsia="仿宋_GB2312"/>
          <w:bCs/>
          <w:sz w:val="24"/>
        </w:rPr>
        <w:t>近年来苹果</w:t>
      </w:r>
      <w:r>
        <w:rPr>
          <w:rFonts w:hint="eastAsia" w:eastAsia="仿宋_GB2312"/>
          <w:bCs/>
          <w:sz w:val="24"/>
          <w:lang w:val="en-US" w:eastAsia="zh-CN"/>
        </w:rPr>
        <w:t>树腐烂</w:t>
      </w:r>
      <w:r>
        <w:rPr>
          <w:rFonts w:hint="eastAsia" w:eastAsia="仿宋_GB2312"/>
          <w:bCs/>
          <w:sz w:val="24"/>
        </w:rPr>
        <w:t>病防控的主要问题与难点、药剂选择、防控效果及防控成本</w:t>
      </w:r>
      <w:r>
        <w:rPr>
          <w:rFonts w:hint="eastAsia" w:eastAsia="仿宋_GB2312"/>
          <w:bCs/>
          <w:sz w:val="24"/>
          <w:lang w:val="en-US" w:eastAsia="zh-CN"/>
        </w:rPr>
        <w:t>等信息</w:t>
      </w:r>
      <w:r>
        <w:rPr>
          <w:rFonts w:hint="eastAsia" w:eastAsia="仿宋_GB2312"/>
          <w:bCs/>
          <w:sz w:val="24"/>
        </w:rPr>
        <w:t>并进行了数据收集。</w:t>
      </w:r>
    </w:p>
    <w:p w14:paraId="340B1134">
      <w:pPr>
        <w:spacing w:line="360" w:lineRule="auto"/>
        <w:ind w:left="465"/>
        <w:outlineLvl w:val="1"/>
        <w:rPr>
          <w:rFonts w:hint="eastAsia" w:ascii="楷体_GB2312" w:eastAsia="楷体_GB2312"/>
          <w:sz w:val="24"/>
        </w:rPr>
      </w:pPr>
      <w:r>
        <w:rPr>
          <w:rFonts w:hint="eastAsia" w:ascii="楷体_GB2312" w:eastAsia="楷体_GB2312"/>
          <w:sz w:val="24"/>
        </w:rPr>
        <w:t>3、收集资料</w:t>
      </w:r>
    </w:p>
    <w:p w14:paraId="33B27C02">
      <w:pPr>
        <w:spacing w:line="360" w:lineRule="auto"/>
        <w:ind w:firstLine="480" w:firstLineChars="200"/>
        <w:rPr>
          <w:rFonts w:eastAsia="仿宋_GB2312"/>
          <w:bCs/>
          <w:sz w:val="24"/>
        </w:rPr>
      </w:pPr>
      <w:r>
        <w:rPr>
          <w:rFonts w:hint="eastAsia" w:eastAsia="仿宋_GB2312"/>
          <w:bCs/>
          <w:sz w:val="24"/>
        </w:rPr>
        <w:t>对苹果树腐烂病防治技术相关文献资料进行查阅学习。在原有材料的基础上，对2018年至今的相关技术资料进行了梳理，并结合最新的研究成果对原标准中的部分数据进行修正。</w:t>
      </w:r>
    </w:p>
    <w:p w14:paraId="40062127">
      <w:pPr>
        <w:spacing w:line="360" w:lineRule="auto"/>
        <w:ind w:left="465"/>
        <w:outlineLvl w:val="1"/>
        <w:rPr>
          <w:rFonts w:hint="eastAsia" w:ascii="楷体_GB2312" w:eastAsia="楷体_GB2312"/>
          <w:sz w:val="24"/>
        </w:rPr>
      </w:pPr>
      <w:r>
        <w:rPr>
          <w:rFonts w:hint="eastAsia" w:ascii="楷体_GB2312" w:eastAsia="楷体_GB2312"/>
          <w:sz w:val="24"/>
        </w:rPr>
        <w:t>4、修订文本</w:t>
      </w:r>
    </w:p>
    <w:p w14:paraId="79FDE6DC">
      <w:pPr>
        <w:spacing w:line="360" w:lineRule="auto"/>
        <w:ind w:firstLine="480" w:firstLineChars="200"/>
        <w:rPr>
          <w:rFonts w:hint="eastAsia" w:eastAsia="仿宋_GB2312"/>
          <w:bCs/>
          <w:sz w:val="24"/>
          <w:lang w:eastAsia="zh-CN"/>
        </w:rPr>
      </w:pPr>
      <w:r>
        <w:rPr>
          <w:rFonts w:hint="eastAsia" w:eastAsia="仿宋_GB2312"/>
          <w:bCs/>
          <w:sz w:val="24"/>
        </w:rPr>
        <w:t>在形成标准征求意见稿后，在整合研究文献、数据资料及调研结果的基础上起草了本标准修订大纲，对</w:t>
      </w:r>
      <w:r>
        <w:rPr>
          <w:rFonts w:hint="eastAsia" w:eastAsia="仿宋_GB2312"/>
          <w:bCs/>
          <w:sz w:val="24"/>
          <w:lang w:val="en-US" w:eastAsia="zh-CN"/>
        </w:rPr>
        <w:t>苹果树腐烂病</w:t>
      </w:r>
      <w:r>
        <w:rPr>
          <w:rFonts w:hint="eastAsia" w:eastAsia="仿宋_GB2312"/>
          <w:bCs/>
          <w:sz w:val="24"/>
        </w:rPr>
        <w:t>的防控技术及常用药剂的种类和配比等方面进行了修订</w:t>
      </w:r>
      <w:r>
        <w:rPr>
          <w:rFonts w:hint="eastAsia" w:eastAsia="仿宋_GB2312"/>
          <w:bCs/>
          <w:sz w:val="24"/>
          <w:lang w:eastAsia="zh-CN"/>
        </w:rPr>
        <w:t>，</w:t>
      </w:r>
      <w:r>
        <w:rPr>
          <w:rFonts w:hint="eastAsia" w:eastAsia="仿宋_GB2312"/>
          <w:bCs/>
          <w:sz w:val="24"/>
          <w:lang w:val="en-US" w:eastAsia="zh-CN"/>
        </w:rPr>
        <w:t>此外根据</w:t>
      </w:r>
      <w:r>
        <w:rPr>
          <w:rFonts w:hint="eastAsia" w:eastAsia="仿宋_GB2312"/>
          <w:bCs/>
          <w:sz w:val="24"/>
        </w:rPr>
        <w:t>“农业标准技术培训”的</w:t>
      </w:r>
      <w:r>
        <w:rPr>
          <w:rFonts w:hint="eastAsia" w:eastAsia="仿宋_GB2312"/>
          <w:bCs/>
          <w:sz w:val="24"/>
          <w:lang w:val="en-US" w:eastAsia="zh-CN"/>
        </w:rPr>
        <w:t>课程内容要求继续</w:t>
      </w:r>
      <w:r>
        <w:rPr>
          <w:rFonts w:hint="eastAsia" w:eastAsia="仿宋_GB2312"/>
          <w:bCs/>
          <w:sz w:val="24"/>
        </w:rPr>
        <w:t>修订稿</w:t>
      </w:r>
      <w:r>
        <w:rPr>
          <w:rFonts w:hint="eastAsia" w:eastAsia="仿宋_GB2312"/>
          <w:bCs/>
          <w:sz w:val="24"/>
          <w:lang w:val="en-US" w:eastAsia="zh-CN"/>
        </w:rPr>
        <w:t>件</w:t>
      </w:r>
      <w:r>
        <w:rPr>
          <w:rFonts w:hint="eastAsia" w:eastAsia="仿宋_GB2312"/>
          <w:bCs/>
          <w:sz w:val="24"/>
          <w:lang w:eastAsia="zh-CN"/>
        </w:rPr>
        <w:t>。</w:t>
      </w:r>
    </w:p>
    <w:p w14:paraId="5D735187">
      <w:pPr>
        <w:spacing w:line="360" w:lineRule="auto"/>
        <w:ind w:left="465"/>
        <w:outlineLvl w:val="1"/>
        <w:rPr>
          <w:rFonts w:hint="eastAsia" w:ascii="楷体_GB2312" w:eastAsia="楷体_GB2312"/>
          <w:sz w:val="24"/>
        </w:rPr>
      </w:pPr>
      <w:r>
        <w:rPr>
          <w:rFonts w:hint="eastAsia" w:ascii="楷体_GB2312" w:eastAsia="楷体_GB2312"/>
          <w:sz w:val="24"/>
        </w:rPr>
        <w:t>5、技术评审</w:t>
      </w:r>
    </w:p>
    <w:p w14:paraId="570C4841">
      <w:pPr>
        <w:spacing w:line="400" w:lineRule="exact"/>
        <w:ind w:firstLine="480" w:firstLineChars="200"/>
        <w:rPr>
          <w:rFonts w:hint="default" w:eastAsia="仿宋_GB2312"/>
          <w:bCs/>
          <w:sz w:val="24"/>
          <w:lang w:val="en-US" w:eastAsia="zh-CN"/>
        </w:rPr>
      </w:pPr>
      <w:r>
        <w:rPr>
          <w:rFonts w:hint="eastAsia" w:eastAsia="仿宋_GB2312"/>
          <w:bCs/>
          <w:sz w:val="24"/>
        </w:rPr>
        <w:t>2024年</w:t>
      </w:r>
      <w:r>
        <w:rPr>
          <w:rFonts w:hint="eastAsia" w:eastAsia="仿宋_GB2312"/>
          <w:bCs/>
          <w:sz w:val="24"/>
          <w:lang w:val="en-US" w:eastAsia="zh-CN"/>
        </w:rPr>
        <w:t>10</w:t>
      </w:r>
      <w:r>
        <w:rPr>
          <w:rFonts w:hint="eastAsia" w:eastAsia="仿宋_GB2312"/>
          <w:bCs/>
          <w:sz w:val="24"/>
        </w:rPr>
        <w:t>月</w:t>
      </w:r>
      <w:r>
        <w:rPr>
          <w:rFonts w:hint="eastAsia" w:eastAsia="仿宋_GB2312"/>
          <w:bCs/>
          <w:sz w:val="24"/>
          <w:lang w:val="en-US" w:eastAsia="zh-CN"/>
        </w:rPr>
        <w:t>18</w:t>
      </w:r>
      <w:r>
        <w:rPr>
          <w:rFonts w:hint="eastAsia" w:eastAsia="仿宋_GB2312"/>
          <w:bCs/>
          <w:sz w:val="24"/>
        </w:rPr>
        <w:t>日，山西省市场监督管理局组织相关专家进行标准审查，形成标准</w:t>
      </w:r>
      <w:r>
        <w:rPr>
          <w:rFonts w:hint="eastAsia" w:eastAsia="仿宋_GB2312"/>
          <w:bCs/>
          <w:sz w:val="24"/>
          <w:lang w:val="en-US" w:eastAsia="zh-CN"/>
        </w:rPr>
        <w:t>专家初审</w:t>
      </w:r>
      <w:r>
        <w:rPr>
          <w:rFonts w:hint="eastAsia" w:eastAsia="仿宋_GB2312"/>
          <w:bCs/>
          <w:sz w:val="24"/>
        </w:rPr>
        <w:t>意见。</w:t>
      </w:r>
    </w:p>
    <w:p w14:paraId="36303B98">
      <w:pPr>
        <w:spacing w:line="360" w:lineRule="auto"/>
        <w:ind w:firstLine="480" w:firstLineChars="200"/>
        <w:outlineLvl w:val="0"/>
      </w:pPr>
      <w:r>
        <w:rPr>
          <w:rFonts w:hint="eastAsia" w:ascii="黑体" w:eastAsia="黑体"/>
          <w:sz w:val="24"/>
        </w:rPr>
        <w:t>四</w:t>
      </w:r>
      <w:r>
        <w:rPr>
          <w:rFonts w:ascii="黑体" w:eastAsia="黑体"/>
          <w:sz w:val="24"/>
        </w:rPr>
        <w:t>、</w:t>
      </w:r>
      <w:r>
        <w:rPr>
          <w:rFonts w:hint="eastAsia" w:ascii="黑体" w:eastAsia="黑体"/>
          <w:sz w:val="24"/>
        </w:rPr>
        <w:t>制修</w:t>
      </w:r>
      <w:r>
        <w:rPr>
          <w:rFonts w:ascii="黑体" w:eastAsia="黑体"/>
          <w:sz w:val="24"/>
        </w:rPr>
        <w:t>订标准的原则和依据，与现行法律、法规、标准的关系</w:t>
      </w:r>
    </w:p>
    <w:p w14:paraId="5184CB1A">
      <w:pPr>
        <w:spacing w:line="360" w:lineRule="auto"/>
        <w:ind w:left="465"/>
        <w:outlineLvl w:val="1"/>
        <w:rPr>
          <w:rFonts w:hint="eastAsia" w:ascii="楷体_GB2312" w:eastAsia="楷体_GB2312"/>
          <w:sz w:val="24"/>
        </w:rPr>
      </w:pPr>
      <w:r>
        <w:rPr>
          <w:rFonts w:hint="eastAsia" w:ascii="楷体_GB2312" w:eastAsia="楷体_GB2312"/>
          <w:sz w:val="24"/>
        </w:rPr>
        <w:t>1. 原则和依据</w:t>
      </w:r>
    </w:p>
    <w:p w14:paraId="48800A3C">
      <w:pPr>
        <w:spacing w:line="360" w:lineRule="auto"/>
        <w:ind w:firstLine="480" w:firstLineChars="200"/>
        <w:rPr>
          <w:rFonts w:eastAsia="仿宋_GB2312"/>
          <w:bCs/>
          <w:sz w:val="24"/>
        </w:rPr>
      </w:pPr>
      <w:r>
        <w:rPr>
          <w:rFonts w:hint="eastAsia" w:eastAsia="仿宋_GB2312"/>
          <w:bCs/>
          <w:sz w:val="24"/>
        </w:rPr>
        <w:t>参照GB/T 8321 (所有部分) 农药合理使用准则</w:t>
      </w:r>
      <w:r>
        <w:rPr>
          <w:rFonts w:hint="eastAsia" w:eastAsia="仿宋_GB2312"/>
          <w:bCs/>
          <w:sz w:val="24"/>
          <w:lang w:eastAsia="zh-CN"/>
        </w:rPr>
        <w:t>、</w:t>
      </w:r>
      <w:r>
        <w:rPr>
          <w:rFonts w:hint="eastAsia" w:eastAsia="仿宋_GB2312"/>
          <w:bCs/>
          <w:sz w:val="24"/>
        </w:rPr>
        <w:t>NY/T 1276  农药安全使用规范总则</w:t>
      </w:r>
      <w:r>
        <w:rPr>
          <w:rFonts w:hint="eastAsia" w:eastAsia="仿宋_GB2312"/>
          <w:bCs/>
          <w:sz w:val="24"/>
          <w:lang w:eastAsia="zh-CN"/>
        </w:rPr>
        <w:t>、</w:t>
      </w:r>
      <w:r>
        <w:rPr>
          <w:rFonts w:hint="eastAsia" w:eastAsia="仿宋_GB2312"/>
          <w:bCs/>
          <w:sz w:val="24"/>
        </w:rPr>
        <w:t>NY/T 496 肥料合理使用准则</w:t>
      </w:r>
      <w:r>
        <w:rPr>
          <w:rFonts w:hint="eastAsia" w:eastAsia="仿宋_GB2312"/>
          <w:bCs/>
          <w:sz w:val="24"/>
          <w:lang w:eastAsia="zh-CN"/>
        </w:rPr>
        <w:t>、</w:t>
      </w:r>
      <w:r>
        <w:rPr>
          <w:rFonts w:hint="eastAsia" w:eastAsia="仿宋_GB2312"/>
          <w:bCs/>
          <w:sz w:val="24"/>
        </w:rPr>
        <w:t>、公开发表的论文以及山西农业大学果树研究所植保团队多年生产实践经验、科研成果及调研结果制定。在标准的技术修订中充分进行了科学论证，在技术上主要根据我省气候特点</w:t>
      </w:r>
      <w:r>
        <w:rPr>
          <w:rFonts w:hint="eastAsia" w:eastAsia="仿宋_GB2312"/>
          <w:bCs/>
          <w:sz w:val="24"/>
          <w:lang w:val="en-US" w:eastAsia="zh-CN"/>
        </w:rPr>
        <w:t>和</w:t>
      </w:r>
      <w:r>
        <w:rPr>
          <w:rFonts w:hint="eastAsia" w:eastAsia="仿宋_GB2312"/>
          <w:bCs/>
          <w:sz w:val="24"/>
        </w:rPr>
        <w:t>栽培现状而制订，符合我省当前的生产和管理特点。</w:t>
      </w:r>
    </w:p>
    <w:p w14:paraId="7AE2B98C">
      <w:pPr>
        <w:spacing w:line="360" w:lineRule="auto"/>
        <w:ind w:left="465"/>
        <w:outlineLvl w:val="1"/>
        <w:rPr>
          <w:rFonts w:hint="eastAsia" w:ascii="楷体_GB2312" w:eastAsia="楷体_GB2312"/>
          <w:sz w:val="24"/>
        </w:rPr>
      </w:pPr>
      <w:r>
        <w:rPr>
          <w:rFonts w:hint="eastAsia" w:ascii="楷体_GB2312" w:eastAsia="楷体_GB2312"/>
          <w:sz w:val="24"/>
        </w:rPr>
        <w:t>2、与现行法律、法规、标准的关系</w:t>
      </w:r>
    </w:p>
    <w:p w14:paraId="07C3078F">
      <w:pPr>
        <w:spacing w:line="360" w:lineRule="auto"/>
        <w:ind w:firstLine="360" w:firstLineChars="150"/>
        <w:rPr>
          <w:rFonts w:hint="eastAsia" w:eastAsia="仿宋_GB2312"/>
          <w:bCs/>
          <w:sz w:val="24"/>
        </w:rPr>
      </w:pPr>
      <w:r>
        <w:rPr>
          <w:rFonts w:hint="eastAsia" w:eastAsia="仿宋_GB2312"/>
          <w:bCs/>
          <w:sz w:val="24"/>
        </w:rPr>
        <w:t>本标准严格按照《中华人民共和国标准法》、《中华人民共和国农业法》、《中华人民共和国农业技术推广法》等有关法律和质量技术监督局《农业标准化管理办法》等规章执行。本标准根据GB/T1.1-2020规定的格式编写，内容和要求参照了相关法律规则，引用了现行的国家标准、行业标准，保证内容与现行法律、法规及强制标准没有冲突。</w:t>
      </w:r>
    </w:p>
    <w:p w14:paraId="2DC1CD7D">
      <w:pPr>
        <w:spacing w:line="360" w:lineRule="auto"/>
        <w:ind w:firstLine="480" w:firstLineChars="200"/>
        <w:outlineLvl w:val="0"/>
        <w:rPr>
          <w:rFonts w:ascii="黑体" w:eastAsia="黑体"/>
          <w:sz w:val="24"/>
        </w:rPr>
      </w:pPr>
      <w:r>
        <w:rPr>
          <w:rFonts w:hint="eastAsia" w:ascii="黑体" w:eastAsia="黑体"/>
          <w:sz w:val="24"/>
        </w:rPr>
        <w:t>五</w:t>
      </w:r>
      <w:r>
        <w:rPr>
          <w:rFonts w:ascii="黑体" w:eastAsia="黑体"/>
          <w:sz w:val="24"/>
        </w:rPr>
        <w:t>、主要条款的说明，主要技术指标、参数、试验验证的分析、综合论述</w:t>
      </w:r>
    </w:p>
    <w:p w14:paraId="1BC35229">
      <w:pPr>
        <w:spacing w:line="360" w:lineRule="auto"/>
        <w:ind w:firstLine="480" w:firstLineChars="200"/>
        <w:rPr>
          <w:rFonts w:eastAsia="仿宋_GB2312"/>
          <w:bCs/>
          <w:sz w:val="24"/>
        </w:rPr>
      </w:pPr>
      <w:r>
        <w:rPr>
          <w:rFonts w:hint="eastAsia" w:eastAsia="仿宋_GB2312"/>
          <w:bCs/>
          <w:sz w:val="24"/>
        </w:rPr>
        <w:t>标准起草组以“合法性、安全性、适应性、协调性和先进性”为修订原则，以文本结构更加合理、表述更加准确、技术指标更加科学为修订目标，从两个方面对文本进行了修订，其中：</w:t>
      </w:r>
    </w:p>
    <w:p w14:paraId="6993C63B">
      <w:pPr>
        <w:spacing w:line="360" w:lineRule="auto"/>
        <w:ind w:left="465"/>
        <w:outlineLvl w:val="1"/>
        <w:rPr>
          <w:rFonts w:hint="eastAsia" w:ascii="楷体_GB2312" w:eastAsia="楷体_GB2312"/>
          <w:sz w:val="24"/>
          <w:lang w:val="en-US" w:eastAsia="zh-CN"/>
        </w:rPr>
      </w:pPr>
      <w:r>
        <w:rPr>
          <w:rFonts w:hint="eastAsia" w:ascii="楷体_GB2312" w:eastAsia="楷体_GB2312"/>
          <w:sz w:val="24"/>
          <w:lang w:val="en-US" w:eastAsia="zh-CN"/>
        </w:rPr>
        <w:t>1、涉及结构性调整的主要有3项：</w:t>
      </w:r>
    </w:p>
    <w:p w14:paraId="4B72519C">
      <w:pPr>
        <w:spacing w:line="360" w:lineRule="auto"/>
        <w:ind w:firstLine="480" w:firstLineChars="200"/>
        <w:rPr>
          <w:rFonts w:hint="eastAsia" w:eastAsia="仿宋_GB2312"/>
          <w:bCs/>
          <w:sz w:val="24"/>
        </w:rPr>
      </w:pPr>
      <w:r>
        <w:rPr>
          <w:rFonts w:hint="eastAsia" w:eastAsia="仿宋_GB2312"/>
          <w:bCs/>
          <w:sz w:val="24"/>
        </w:rPr>
        <w:t>（1）增加了防治原则</w:t>
      </w:r>
      <w:r>
        <w:rPr>
          <w:rFonts w:hint="eastAsia" w:eastAsia="仿宋_GB2312"/>
          <w:bCs/>
          <w:sz w:val="24"/>
          <w:lang w:val="en-US" w:eastAsia="zh-CN"/>
        </w:rPr>
        <w:t>的规定</w:t>
      </w:r>
      <w:r>
        <w:rPr>
          <w:rFonts w:hint="eastAsia" w:eastAsia="仿宋_GB2312"/>
          <w:bCs/>
          <w:sz w:val="24"/>
        </w:rPr>
        <w:t>（见6.1）</w:t>
      </w:r>
      <w:r>
        <w:rPr>
          <w:rFonts w:hint="eastAsia" w:eastAsia="仿宋_GB2312"/>
          <w:bCs/>
          <w:sz w:val="24"/>
          <w:lang w:eastAsia="zh-CN"/>
        </w:rPr>
        <w:t>。</w:t>
      </w:r>
      <w:r>
        <w:rPr>
          <w:rFonts w:hint="eastAsia" w:eastAsia="仿宋_GB2312"/>
          <w:bCs/>
          <w:sz w:val="24"/>
        </w:rPr>
        <w:t>修订原因：明确了病害防治的基本原则。</w:t>
      </w:r>
    </w:p>
    <w:p w14:paraId="581EF3ED">
      <w:pPr>
        <w:spacing w:line="360" w:lineRule="auto"/>
        <w:ind w:firstLine="480" w:firstLineChars="200"/>
        <w:rPr>
          <w:rFonts w:hint="eastAsia" w:eastAsia="仿宋_GB2312"/>
          <w:bCs/>
          <w:sz w:val="24"/>
        </w:rPr>
      </w:pPr>
      <w:r>
        <w:rPr>
          <w:rFonts w:hint="eastAsia" w:eastAsia="仿宋_GB2312"/>
          <w:bCs/>
          <w:sz w:val="24"/>
        </w:rPr>
        <w:t>（2）增加了药剂选择原则</w:t>
      </w:r>
      <w:r>
        <w:rPr>
          <w:rFonts w:hint="eastAsia" w:eastAsia="仿宋_GB2312"/>
          <w:bCs/>
          <w:sz w:val="24"/>
          <w:lang w:val="en-US" w:eastAsia="zh-CN"/>
        </w:rPr>
        <w:t>的规定</w:t>
      </w:r>
      <w:r>
        <w:rPr>
          <w:rFonts w:hint="eastAsia" w:eastAsia="仿宋_GB2312"/>
          <w:bCs/>
          <w:sz w:val="24"/>
        </w:rPr>
        <w:t>（见6.5.1）修订原因：明确了</w:t>
      </w:r>
      <w:r>
        <w:rPr>
          <w:rFonts w:hint="eastAsia" w:eastAsia="仿宋_GB2312"/>
          <w:bCs/>
          <w:sz w:val="24"/>
          <w:lang w:val="en-US" w:eastAsia="zh-CN"/>
        </w:rPr>
        <w:t>选择施用药剂的原基本原则</w:t>
      </w:r>
      <w:r>
        <w:rPr>
          <w:rFonts w:hint="eastAsia" w:eastAsia="仿宋_GB2312"/>
          <w:bCs/>
          <w:sz w:val="24"/>
        </w:rPr>
        <w:t>。</w:t>
      </w:r>
    </w:p>
    <w:p w14:paraId="148E9174">
      <w:pPr>
        <w:spacing w:line="360" w:lineRule="auto"/>
        <w:ind w:firstLine="480" w:firstLineChars="200"/>
        <w:rPr>
          <w:rFonts w:hint="eastAsia" w:eastAsia="仿宋_GB2312"/>
          <w:bCs/>
          <w:sz w:val="24"/>
        </w:rPr>
      </w:pPr>
      <w:r>
        <w:rPr>
          <w:rFonts w:hint="eastAsia" w:eastAsia="仿宋_GB2312"/>
          <w:bCs/>
          <w:sz w:val="24"/>
        </w:rPr>
        <w:t>（3）删除了</w:t>
      </w:r>
      <w:r>
        <w:rPr>
          <w:rFonts w:hint="eastAsia" w:eastAsia="仿宋_GB2312"/>
          <w:bCs/>
          <w:sz w:val="24"/>
          <w:lang w:val="en-US" w:eastAsia="zh-CN"/>
        </w:rPr>
        <w:t>苹果树腐烂病的</w:t>
      </w:r>
      <w:r>
        <w:rPr>
          <w:rFonts w:hint="eastAsia" w:eastAsia="仿宋_GB2312"/>
          <w:bCs/>
          <w:sz w:val="24"/>
        </w:rPr>
        <w:t>定义（见3）</w:t>
      </w:r>
      <w:r>
        <w:rPr>
          <w:rFonts w:hint="eastAsia" w:eastAsia="仿宋_GB2312"/>
          <w:bCs/>
          <w:sz w:val="24"/>
          <w:lang w:eastAsia="zh-CN"/>
        </w:rPr>
        <w:t>。</w:t>
      </w:r>
      <w:r>
        <w:rPr>
          <w:rFonts w:hint="eastAsia" w:eastAsia="仿宋_GB2312"/>
          <w:bCs/>
          <w:sz w:val="24"/>
        </w:rPr>
        <w:t>修订原因：</w:t>
      </w:r>
      <w:r>
        <w:rPr>
          <w:rFonts w:hint="eastAsia" w:eastAsia="仿宋_GB2312"/>
          <w:bCs/>
          <w:sz w:val="24"/>
          <w:lang w:val="en-US" w:eastAsia="zh-CN"/>
        </w:rPr>
        <w:t>苹果树腐烂病</w:t>
      </w:r>
      <w:r>
        <w:rPr>
          <w:rFonts w:hint="eastAsia" w:eastAsia="仿宋_GB2312"/>
          <w:bCs/>
          <w:sz w:val="24"/>
        </w:rPr>
        <w:t>是一种常见</w:t>
      </w:r>
      <w:r>
        <w:rPr>
          <w:rFonts w:hint="eastAsia" w:eastAsia="仿宋_GB2312"/>
          <w:bCs/>
          <w:sz w:val="24"/>
          <w:lang w:val="en-US" w:eastAsia="zh-CN"/>
        </w:rPr>
        <w:t>的苹果树病害</w:t>
      </w:r>
      <w:r>
        <w:rPr>
          <w:rFonts w:hint="eastAsia" w:eastAsia="仿宋_GB2312"/>
          <w:bCs/>
          <w:sz w:val="24"/>
        </w:rPr>
        <w:t>，已成为共识</w:t>
      </w:r>
      <w:r>
        <w:rPr>
          <w:rFonts w:hint="eastAsia" w:eastAsia="仿宋_GB2312"/>
          <w:bCs/>
          <w:sz w:val="24"/>
          <w:lang w:val="en-US" w:eastAsia="zh-CN"/>
        </w:rPr>
        <w:t>不需要描述</w:t>
      </w:r>
      <w:r>
        <w:rPr>
          <w:rFonts w:hint="eastAsia" w:eastAsia="仿宋_GB2312"/>
          <w:bCs/>
          <w:sz w:val="24"/>
        </w:rPr>
        <w:t>。</w:t>
      </w:r>
    </w:p>
    <w:p w14:paraId="37245C78">
      <w:pPr>
        <w:spacing w:line="360" w:lineRule="auto"/>
        <w:ind w:left="465"/>
        <w:outlineLvl w:val="1"/>
        <w:rPr>
          <w:rFonts w:hint="eastAsia" w:ascii="楷体_GB2312" w:eastAsia="楷体_GB2312"/>
          <w:sz w:val="24"/>
          <w:lang w:val="en-US" w:eastAsia="zh-CN"/>
        </w:rPr>
      </w:pPr>
      <w:r>
        <w:rPr>
          <w:rFonts w:hint="eastAsia" w:ascii="楷体_GB2312" w:eastAsia="楷体_GB2312"/>
          <w:sz w:val="24"/>
          <w:lang w:val="en-US" w:eastAsia="zh-CN"/>
        </w:rPr>
        <w:t>2、涉及表述与编辑性修改的主要有6项：</w:t>
      </w:r>
    </w:p>
    <w:p w14:paraId="0F13514E">
      <w:pPr>
        <w:spacing w:line="360" w:lineRule="auto"/>
        <w:ind w:firstLine="480" w:firstLineChars="200"/>
        <w:rPr>
          <w:rFonts w:hint="default" w:eastAsia="仿宋_GB2312"/>
          <w:bCs/>
          <w:sz w:val="24"/>
          <w:lang w:val="en-US" w:eastAsia="zh-CN"/>
        </w:rPr>
      </w:pPr>
      <w:r>
        <w:rPr>
          <w:rFonts w:hint="eastAsia" w:eastAsia="仿宋_GB2312"/>
          <w:bCs/>
          <w:sz w:val="24"/>
          <w:lang w:eastAsia="zh-CN"/>
        </w:rPr>
        <w:t>（</w:t>
      </w:r>
      <w:r>
        <w:rPr>
          <w:rFonts w:hint="eastAsia" w:eastAsia="仿宋_GB2312"/>
          <w:bCs/>
          <w:sz w:val="24"/>
          <w:lang w:val="en-US" w:eastAsia="zh-CN"/>
        </w:rPr>
        <w:t>1</w:t>
      </w:r>
      <w:r>
        <w:rPr>
          <w:rFonts w:hint="eastAsia" w:eastAsia="仿宋_GB2312"/>
          <w:bCs/>
          <w:sz w:val="24"/>
          <w:lang w:eastAsia="zh-CN"/>
        </w:rPr>
        <w:t>）</w:t>
      </w:r>
      <w:r>
        <w:rPr>
          <w:rFonts w:hint="eastAsia" w:eastAsia="仿宋_GB2312"/>
          <w:bCs/>
          <w:sz w:val="24"/>
          <w:lang w:val="en-US" w:eastAsia="zh-CN"/>
        </w:rPr>
        <w:t>更改了本规程的名称，将《苹果树腐烂病综合防治技术规程》改为《苹果腐烂病综合防治技术规程》。修订原因：该病害称为“苹果树腐烂病”也可称为“苹果腐烂病”，“苹果树”更强调树体发病，但本病害也对果实产生危害，因而去掉“树”字。</w:t>
      </w:r>
    </w:p>
    <w:p w14:paraId="1F1E5023">
      <w:pPr>
        <w:spacing w:line="360" w:lineRule="auto"/>
        <w:ind w:firstLine="480" w:firstLineChars="200"/>
        <w:rPr>
          <w:rFonts w:eastAsia="仿宋_GB2312"/>
          <w:bCs/>
          <w:sz w:val="24"/>
        </w:rPr>
      </w:pPr>
      <w:r>
        <w:rPr>
          <w:rFonts w:hint="eastAsia" w:eastAsia="仿宋_GB2312"/>
          <w:bCs/>
          <w:sz w:val="24"/>
        </w:rPr>
        <w:t>（</w:t>
      </w:r>
      <w:r>
        <w:rPr>
          <w:rFonts w:hint="eastAsia" w:eastAsia="仿宋_GB2312"/>
          <w:bCs/>
          <w:sz w:val="24"/>
          <w:lang w:val="en-US" w:eastAsia="zh-CN"/>
        </w:rPr>
        <w:t>2</w:t>
      </w:r>
      <w:r>
        <w:rPr>
          <w:rFonts w:hint="eastAsia" w:eastAsia="仿宋_GB2312"/>
          <w:bCs/>
          <w:sz w:val="24"/>
        </w:rPr>
        <w:t>）更改了措辞用字，将“烧毁”改为“销毁”。修订原因：依据</w:t>
      </w:r>
      <w:r>
        <w:rPr>
          <w:rFonts w:eastAsia="仿宋_GB2312"/>
          <w:bCs/>
          <w:sz w:val="24"/>
        </w:rPr>
        <w:t>环保政策，鼓励采取更为环保和可持续的方法处理病害树枝，而不是简单地焚烧</w:t>
      </w:r>
      <w:r>
        <w:rPr>
          <w:rFonts w:hint="eastAsia" w:eastAsia="仿宋_GB2312"/>
          <w:bCs/>
          <w:sz w:val="24"/>
        </w:rPr>
        <w:t>。</w:t>
      </w:r>
      <w:r>
        <w:rPr>
          <w:rFonts w:eastAsia="仿宋_GB2312"/>
          <w:bCs/>
          <w:sz w:val="24"/>
        </w:rPr>
        <w:t>树枝是可再生资源，可以通过堆肥、生产生物能源等方式进行回收利用。焚烧过程中产生的风和烟雾</w:t>
      </w:r>
      <w:r>
        <w:rPr>
          <w:rFonts w:hint="eastAsia" w:eastAsia="仿宋_GB2312"/>
          <w:bCs/>
          <w:sz w:val="24"/>
        </w:rPr>
        <w:t>可能</w:t>
      </w:r>
      <w:r>
        <w:rPr>
          <w:rFonts w:eastAsia="仿宋_GB2312"/>
          <w:bCs/>
          <w:sz w:val="24"/>
        </w:rPr>
        <w:t>帮助病原菌或害虫扩散，增加了病虫害的传播风险</w:t>
      </w:r>
      <w:r>
        <w:rPr>
          <w:rFonts w:hint="eastAsia" w:eastAsia="仿宋_GB2312"/>
          <w:bCs/>
          <w:sz w:val="24"/>
        </w:rPr>
        <w:t>。此外</w:t>
      </w:r>
      <w:r>
        <w:rPr>
          <w:rFonts w:eastAsia="仿宋_GB2312"/>
          <w:bCs/>
          <w:sz w:val="24"/>
        </w:rPr>
        <w:t>焚烧病害树枝会产生大量的烟雾和有害气体</w:t>
      </w:r>
      <w:r>
        <w:rPr>
          <w:rFonts w:hint="eastAsia" w:eastAsia="仿宋_GB2312"/>
          <w:bCs/>
          <w:sz w:val="24"/>
        </w:rPr>
        <w:t>对</w:t>
      </w:r>
      <w:r>
        <w:rPr>
          <w:rFonts w:eastAsia="仿宋_GB2312"/>
          <w:bCs/>
          <w:sz w:val="24"/>
        </w:rPr>
        <w:t>空气质量造成严重影响，对人体健康也有潜在的危害</w:t>
      </w:r>
      <w:r>
        <w:rPr>
          <w:rFonts w:hint="eastAsia" w:eastAsia="仿宋_GB2312"/>
          <w:bCs/>
          <w:sz w:val="24"/>
        </w:rPr>
        <w:t>，而</w:t>
      </w:r>
      <w:r>
        <w:rPr>
          <w:rFonts w:eastAsia="仿宋_GB2312"/>
          <w:bCs/>
          <w:sz w:val="24"/>
        </w:rPr>
        <w:t>焚烧过程中可能引发火灾，对周边环境</w:t>
      </w:r>
      <w:r>
        <w:rPr>
          <w:rFonts w:hint="eastAsia" w:eastAsia="仿宋_GB2312"/>
          <w:bCs/>
          <w:sz w:val="24"/>
        </w:rPr>
        <w:t>及人员</w:t>
      </w:r>
      <w:r>
        <w:rPr>
          <w:rFonts w:eastAsia="仿宋_GB2312"/>
          <w:bCs/>
          <w:sz w:val="24"/>
        </w:rPr>
        <w:t>造成安全隐患。</w:t>
      </w:r>
    </w:p>
    <w:p w14:paraId="3E75739A">
      <w:pPr>
        <w:spacing w:line="360" w:lineRule="auto"/>
        <w:ind w:firstLine="480" w:firstLineChars="200"/>
        <w:rPr>
          <w:rFonts w:hint="default" w:eastAsia="仿宋_GB2312"/>
          <w:bCs/>
          <w:sz w:val="24"/>
          <w:lang w:val="en-US" w:eastAsia="zh-CN"/>
        </w:rPr>
      </w:pPr>
      <w:r>
        <w:rPr>
          <w:rFonts w:hint="eastAsia" w:eastAsia="仿宋_GB2312"/>
          <w:bCs/>
          <w:sz w:val="24"/>
        </w:rPr>
        <w:t>（</w:t>
      </w:r>
      <w:r>
        <w:rPr>
          <w:rFonts w:hint="eastAsia" w:eastAsia="仿宋_GB2312"/>
          <w:bCs/>
          <w:sz w:val="24"/>
          <w:lang w:val="en-US" w:eastAsia="zh-CN"/>
        </w:rPr>
        <w:t>3</w:t>
      </w:r>
      <w:r>
        <w:rPr>
          <w:rFonts w:hint="eastAsia" w:eastAsia="仿宋_GB2312"/>
          <w:bCs/>
          <w:sz w:val="24"/>
        </w:rPr>
        <w:t>）</w:t>
      </w:r>
      <w:r>
        <w:rPr>
          <w:rFonts w:hint="eastAsia" w:eastAsia="仿宋_GB2312"/>
          <w:bCs/>
          <w:sz w:val="24"/>
          <w:lang w:val="en-US" w:eastAsia="zh-CN"/>
        </w:rPr>
        <w:t>更改了发病规律（见5）</w:t>
      </w:r>
      <w:r>
        <w:rPr>
          <w:rFonts w:hint="eastAsia" w:eastAsia="仿宋_GB2312"/>
          <w:bCs/>
          <w:sz w:val="24"/>
        </w:rPr>
        <w:t>。修订原因：</w:t>
      </w:r>
      <w:r>
        <w:rPr>
          <w:rFonts w:hint="eastAsia" w:eastAsia="仿宋_GB2312"/>
          <w:bCs/>
          <w:sz w:val="24"/>
          <w:lang w:val="en-US" w:eastAsia="zh-CN"/>
        </w:rPr>
        <w:t>将发病规律分为“越冬”和“发病特点”两个部分，表述更加清晰便于理解。</w:t>
      </w:r>
    </w:p>
    <w:p w14:paraId="27EBBF2C">
      <w:pPr>
        <w:spacing w:line="360" w:lineRule="auto"/>
        <w:ind w:firstLine="480" w:firstLineChars="200"/>
        <w:rPr>
          <w:rFonts w:hint="default" w:eastAsia="仿宋_GB2312"/>
          <w:bCs/>
          <w:sz w:val="24"/>
          <w:lang w:val="en-US" w:eastAsia="zh-CN"/>
        </w:rPr>
      </w:pPr>
      <w:r>
        <w:rPr>
          <w:rFonts w:hint="eastAsia" w:eastAsia="仿宋_GB2312"/>
          <w:bCs/>
          <w:sz w:val="24"/>
          <w:lang w:eastAsia="zh-CN"/>
        </w:rPr>
        <w:t>（</w:t>
      </w:r>
      <w:r>
        <w:rPr>
          <w:rFonts w:hint="eastAsia" w:eastAsia="仿宋_GB2312"/>
          <w:bCs/>
          <w:sz w:val="24"/>
          <w:lang w:val="en-US" w:eastAsia="zh-CN"/>
        </w:rPr>
        <w:t>4</w:t>
      </w:r>
      <w:r>
        <w:rPr>
          <w:rFonts w:hint="eastAsia" w:eastAsia="仿宋_GB2312"/>
          <w:bCs/>
          <w:sz w:val="24"/>
          <w:lang w:eastAsia="zh-CN"/>
        </w:rPr>
        <w:t>）</w:t>
      </w:r>
      <w:r>
        <w:rPr>
          <w:rFonts w:hint="eastAsia" w:eastAsia="仿宋_GB2312"/>
          <w:bCs/>
          <w:sz w:val="24"/>
        </w:rPr>
        <w:t>更改了加强栽培管理</w:t>
      </w:r>
      <w:r>
        <w:rPr>
          <w:rFonts w:hint="eastAsia" w:eastAsia="仿宋_GB2312"/>
          <w:bCs/>
          <w:sz w:val="24"/>
          <w:lang w:eastAsia="zh-CN"/>
        </w:rPr>
        <w:t>（</w:t>
      </w:r>
      <w:r>
        <w:rPr>
          <w:rFonts w:hint="eastAsia" w:eastAsia="仿宋_GB2312"/>
          <w:bCs/>
          <w:sz w:val="24"/>
          <w:lang w:val="en-US" w:eastAsia="zh-CN"/>
        </w:rPr>
        <w:t>见6.2.2</w:t>
      </w:r>
      <w:r>
        <w:rPr>
          <w:rFonts w:hint="eastAsia" w:eastAsia="仿宋_GB2312"/>
          <w:bCs/>
          <w:sz w:val="24"/>
          <w:lang w:eastAsia="zh-CN"/>
        </w:rPr>
        <w:t>）</w:t>
      </w:r>
      <w:r>
        <w:rPr>
          <w:rFonts w:hint="eastAsia" w:eastAsia="仿宋_GB2312"/>
          <w:bCs/>
          <w:sz w:val="24"/>
        </w:rPr>
        <w:t>。修订原因：“减少伤口”与“减少伤口暴露期”是并列存在的问题</w:t>
      </w:r>
      <w:r>
        <w:rPr>
          <w:rFonts w:hint="eastAsia" w:eastAsia="仿宋_GB2312"/>
          <w:bCs/>
          <w:sz w:val="24"/>
          <w:lang w:val="en-US" w:eastAsia="zh-CN"/>
        </w:rPr>
        <w:t>需要写明</w:t>
      </w:r>
      <w:r>
        <w:rPr>
          <w:rFonts w:hint="eastAsia" w:eastAsia="仿宋_GB2312"/>
          <w:bCs/>
          <w:sz w:val="24"/>
        </w:rPr>
        <w:t>，果树负载果量也因树势而异</w:t>
      </w:r>
      <w:r>
        <w:rPr>
          <w:rFonts w:hint="eastAsia" w:eastAsia="仿宋_GB2312"/>
          <w:bCs/>
          <w:sz w:val="24"/>
          <w:lang w:val="en-US" w:eastAsia="zh-CN"/>
        </w:rPr>
        <w:t>分情况写明</w:t>
      </w:r>
      <w:r>
        <w:rPr>
          <w:rFonts w:hint="eastAsia" w:eastAsia="仿宋_GB2312"/>
          <w:bCs/>
          <w:sz w:val="24"/>
        </w:rPr>
        <w:t>，现行规程并对这部分描述不详尽。</w:t>
      </w:r>
      <w:r>
        <w:rPr>
          <w:rFonts w:hint="eastAsia" w:eastAsia="仿宋_GB2312"/>
          <w:bCs/>
          <w:sz w:val="24"/>
          <w:lang w:val="en-US" w:eastAsia="zh-CN"/>
        </w:rPr>
        <w:t>将具体栽培管理技术分条目列出使得内容更加清晰便于理解。</w:t>
      </w:r>
    </w:p>
    <w:p w14:paraId="2FBDBF14">
      <w:pPr>
        <w:spacing w:line="360" w:lineRule="auto"/>
        <w:ind w:firstLine="480" w:firstLineChars="200"/>
        <w:rPr>
          <w:rFonts w:hint="default" w:eastAsia="仿宋_GB2312"/>
          <w:bCs/>
          <w:sz w:val="24"/>
          <w:lang w:val="en-US" w:eastAsia="zh-CN"/>
        </w:rPr>
      </w:pPr>
      <w:r>
        <w:rPr>
          <w:rFonts w:hint="eastAsia" w:eastAsia="仿宋_GB2312"/>
          <w:bCs/>
          <w:sz w:val="24"/>
          <w:lang w:val="en-US" w:eastAsia="zh-CN"/>
        </w:rPr>
        <w:t>（5）更改了防治技术（见6）。修订原因：对“桥接”“重刮皮”“病斑治疗”中具体内容分为时间、方法和注意事项三个部分，使得内容更加清晰便于理解。</w:t>
      </w:r>
    </w:p>
    <w:p w14:paraId="0104E73B">
      <w:pPr>
        <w:spacing w:line="360" w:lineRule="auto"/>
        <w:ind w:firstLine="480" w:firstLineChars="200"/>
        <w:rPr>
          <w:rFonts w:hint="default" w:eastAsia="仿宋_GB2312"/>
          <w:bCs/>
          <w:sz w:val="24"/>
          <w:lang w:val="en-US" w:eastAsia="zh-CN"/>
        </w:rPr>
      </w:pPr>
      <w:r>
        <w:rPr>
          <w:rFonts w:hint="eastAsia" w:eastAsia="仿宋_GB2312"/>
          <w:bCs/>
          <w:sz w:val="24"/>
          <w:lang w:val="en-US" w:eastAsia="zh-CN"/>
        </w:rPr>
        <w:t>（6）更改了剪锯口保护（见6.3.2）。修订原因：将各保护剂配比分段描述使得内容更加清晰便于理解。</w:t>
      </w:r>
    </w:p>
    <w:p w14:paraId="72032B08">
      <w:pPr>
        <w:spacing w:line="360" w:lineRule="auto"/>
        <w:ind w:left="465"/>
        <w:outlineLvl w:val="1"/>
        <w:rPr>
          <w:rFonts w:hint="eastAsia" w:ascii="楷体_GB2312" w:eastAsia="楷体_GB2312"/>
          <w:sz w:val="24"/>
          <w:lang w:val="en-US" w:eastAsia="zh-CN"/>
        </w:rPr>
      </w:pPr>
      <w:r>
        <w:rPr>
          <w:rFonts w:hint="eastAsia" w:ascii="楷体_GB2312" w:eastAsia="楷体_GB2312"/>
          <w:sz w:val="24"/>
          <w:lang w:val="en-US" w:eastAsia="zh-CN"/>
        </w:rPr>
        <w:t>3、涉及到的技术指标主要有7项：</w:t>
      </w:r>
    </w:p>
    <w:p w14:paraId="4170D95A">
      <w:pPr>
        <w:spacing w:line="360" w:lineRule="auto"/>
        <w:ind w:firstLine="480" w:firstLineChars="200"/>
        <w:rPr>
          <w:rFonts w:hint="eastAsia" w:eastAsia="仿宋_GB2312"/>
          <w:bCs/>
          <w:sz w:val="24"/>
          <w:lang w:val="en-US" w:eastAsia="zh-CN"/>
        </w:rPr>
      </w:pPr>
      <w:r>
        <w:rPr>
          <w:rFonts w:hint="eastAsia" w:eastAsia="仿宋_GB2312"/>
          <w:bCs/>
          <w:sz w:val="24"/>
          <w:lang w:val="en-US" w:eastAsia="zh-CN"/>
        </w:rPr>
        <w:t>（1）更改了加强栽培管理的规定</w:t>
      </w:r>
      <w:r>
        <w:rPr>
          <w:rFonts w:hint="eastAsia" w:eastAsia="仿宋_GB2312"/>
          <w:bCs/>
          <w:sz w:val="24"/>
          <w:lang w:val="en-US" w:eastAsia="zh-CN"/>
        </w:rPr>
        <w:t>（见6.2.2）。修订原因：追肥的使用量以产量为衡量不便计算，果品产量可能由于当年的气候条件及病害等因素而改变，以面积计算便于推广。</w:t>
      </w:r>
      <w:r>
        <w:rPr>
          <w:rFonts w:hint="eastAsia" w:eastAsia="仿宋_GB2312"/>
          <w:bCs/>
          <w:sz w:val="24"/>
        </w:rPr>
        <w:t>实际生产中果园的生态环境是复杂的，会合并发生多种病虫害，早期落叶病虫害的发生会加重苹果树腐烂病的危害程度，因而需要综合管理</w:t>
      </w:r>
      <w:r>
        <w:rPr>
          <w:rFonts w:hint="eastAsia" w:eastAsia="仿宋_GB2312"/>
          <w:bCs/>
          <w:sz w:val="24"/>
          <w:lang w:eastAsia="zh-CN"/>
        </w:rPr>
        <w:t>，</w:t>
      </w:r>
      <w:r>
        <w:rPr>
          <w:rFonts w:hint="eastAsia" w:eastAsia="仿宋_GB2312"/>
          <w:bCs/>
          <w:sz w:val="24"/>
          <w:lang w:val="en-US" w:eastAsia="zh-CN"/>
        </w:rPr>
        <w:t>而合理的栽培模式有助于提高树势增强果树抗病能力，因此增加了这两部分的描述。</w:t>
      </w:r>
    </w:p>
    <w:p w14:paraId="79EB8B9A">
      <w:pPr>
        <w:spacing w:line="360" w:lineRule="auto"/>
        <w:ind w:firstLine="480" w:firstLineChars="200"/>
        <w:rPr>
          <w:rFonts w:hint="default" w:eastAsia="仿宋_GB2312"/>
          <w:bCs/>
          <w:sz w:val="24"/>
          <w:lang w:val="en-US" w:eastAsia="zh-CN"/>
        </w:rPr>
      </w:pPr>
      <w:r>
        <w:rPr>
          <w:rFonts w:hint="eastAsia" w:eastAsia="仿宋_GB2312"/>
          <w:bCs/>
          <w:sz w:val="24"/>
          <w:lang w:val="en-US" w:eastAsia="zh-CN"/>
        </w:rPr>
        <w:t>（2）增加了物理防治（见6.3）</w:t>
      </w:r>
      <w:r>
        <w:rPr>
          <w:rFonts w:hint="eastAsia" w:eastAsia="仿宋_GB2312"/>
          <w:bCs/>
          <w:sz w:val="24"/>
          <w:lang w:eastAsia="zh-CN"/>
        </w:rPr>
        <w:t>。修订原因：</w:t>
      </w:r>
      <w:r>
        <w:rPr>
          <w:rFonts w:hint="eastAsia" w:eastAsia="仿宋_GB2312"/>
          <w:bCs/>
          <w:sz w:val="24"/>
          <w:lang w:val="en-US" w:eastAsia="zh-CN"/>
        </w:rPr>
        <w:t>树干涂白和剪锯口保护都属于物理防治技术，因而归类于物理防治，且剪锯口施用保护剂是为了阻隔病菌侵染途径而非杀菌，过多使用杀菌剂会增加农药残留及病菌抗性等问题。</w:t>
      </w:r>
    </w:p>
    <w:p w14:paraId="4134CB69">
      <w:pPr>
        <w:spacing w:line="360" w:lineRule="auto"/>
        <w:ind w:firstLine="480" w:firstLineChars="200"/>
        <w:rPr>
          <w:rFonts w:hint="eastAsia"/>
          <w:lang w:val="en-US" w:eastAsia="zh-CN"/>
        </w:rPr>
      </w:pPr>
      <w:r>
        <w:rPr>
          <w:rFonts w:hint="eastAsia" w:eastAsia="仿宋_GB2312"/>
          <w:bCs/>
          <w:sz w:val="24"/>
          <w:lang w:val="en-US" w:eastAsia="zh-CN"/>
        </w:rPr>
        <w:t>（3）更改了树干涂白的规定（见6.3.1）。修订原因：石硫合剂具有杀菌、杀虫及杀螨等功效，在涂白剂中加入石硫合剂可增强原有试剂的功效。</w:t>
      </w:r>
    </w:p>
    <w:p w14:paraId="14B328BA">
      <w:pPr>
        <w:spacing w:line="360" w:lineRule="auto"/>
        <w:ind w:firstLine="480" w:firstLineChars="200"/>
        <w:rPr>
          <w:rFonts w:eastAsia="仿宋_GB2312"/>
          <w:bCs/>
          <w:sz w:val="24"/>
        </w:rPr>
      </w:pPr>
      <w:r>
        <w:rPr>
          <w:rFonts w:hint="eastAsia" w:eastAsia="仿宋_GB2312"/>
          <w:bCs/>
          <w:sz w:val="24"/>
          <w:lang w:val="en-US" w:eastAsia="zh-CN"/>
        </w:rPr>
        <w:t>（4）增加了生物防治的规定（见6.4）</w:t>
      </w:r>
      <w:r>
        <w:rPr>
          <w:rFonts w:hint="eastAsia" w:eastAsia="仿宋_GB2312"/>
          <w:bCs/>
          <w:sz w:val="24"/>
        </w:rPr>
        <w:t>。修订原因：生物防治更环保，对生态系统的影响小，不仅可以控制致病菌，还有助于保护益虫和有益微生物。这些有益生物在生态系统中起到重要的调控作用，有助于维持果园的生态平衡。生物防治可以减缓病菌对化学农药的抗药性的发展。采用生物防治方法可以减少对化学农药的依赖，降低农业生产中化学农药的使用量。这有助于减轻农药对环境和人体健康的潜在危害。随着消费者对食品安全和环保的关注增加，采用生物防治方法生产的果品更符合市场需求。</w:t>
      </w:r>
    </w:p>
    <w:p w14:paraId="4C243CA8">
      <w:pPr>
        <w:spacing w:line="360" w:lineRule="auto"/>
        <w:ind w:firstLine="480" w:firstLineChars="200"/>
        <w:rPr>
          <w:rFonts w:hint="default" w:eastAsia="仿宋_GB2312"/>
          <w:bCs/>
          <w:sz w:val="24"/>
          <w:lang w:val="en-US" w:eastAsia="zh-CN"/>
        </w:rPr>
      </w:pPr>
      <w:r>
        <w:rPr>
          <w:rFonts w:hint="eastAsia" w:eastAsia="仿宋_GB2312"/>
          <w:bCs/>
          <w:sz w:val="24"/>
          <w:lang w:val="en-US" w:eastAsia="zh-CN"/>
        </w:rPr>
        <w:t>（5）更改了休眠期喷药的条标题和规定（见6.5.2）。修订原因：苹果树腐烂病全年发生，果实膨大期正处于病原菌最适生长期，病程发展更快，同样需要加强预防进行病菌的清除，其最适用的药剂也与休眠期施药有所不同，因而增加这部分内容，同时将条标题改为“清除病菌”。</w:t>
      </w:r>
    </w:p>
    <w:p w14:paraId="2E1FB8E0">
      <w:pPr>
        <w:spacing w:line="360" w:lineRule="auto"/>
        <w:ind w:firstLine="480" w:firstLineChars="200"/>
        <w:rPr>
          <w:rFonts w:eastAsia="仿宋_GB2312"/>
          <w:bCs/>
          <w:sz w:val="24"/>
        </w:rPr>
      </w:pPr>
      <w:r>
        <w:rPr>
          <w:rFonts w:hint="eastAsia" w:eastAsia="仿宋_GB2312"/>
          <w:bCs/>
          <w:sz w:val="24"/>
          <w:lang w:val="en-US" w:eastAsia="zh-CN"/>
        </w:rPr>
        <w:t>（6）更改了病斑治疗的规定（见6.5.3）</w:t>
      </w:r>
      <w:r>
        <w:rPr>
          <w:rFonts w:hint="eastAsia" w:eastAsia="仿宋_GB2312"/>
          <w:bCs/>
          <w:sz w:val="24"/>
        </w:rPr>
        <w:t>。修订原因：新的科研成果和技术提供了更有效、更安全的化学防治药剂以及更合理的药剂配比，</w:t>
      </w:r>
      <w:r>
        <w:rPr>
          <w:rFonts w:hint="eastAsia" w:eastAsia="仿宋_GB2312"/>
          <w:bCs/>
          <w:sz w:val="24"/>
          <w:lang w:val="en-US" w:eastAsia="zh-CN"/>
        </w:rPr>
        <w:t>因而需要</w:t>
      </w:r>
      <w:r>
        <w:rPr>
          <w:rFonts w:hint="eastAsia" w:eastAsia="仿宋_GB2312"/>
          <w:bCs/>
          <w:sz w:val="24"/>
        </w:rPr>
        <w:t>更新防治用药及试剂配比</w:t>
      </w:r>
      <w:r>
        <w:rPr>
          <w:rFonts w:hint="eastAsia" w:eastAsia="仿宋_GB2312"/>
          <w:bCs/>
          <w:sz w:val="24"/>
          <w:lang w:val="en-US" w:eastAsia="zh-CN"/>
        </w:rPr>
        <w:t>以</w:t>
      </w:r>
      <w:r>
        <w:rPr>
          <w:rFonts w:hint="eastAsia" w:eastAsia="仿宋_GB2312"/>
          <w:bCs/>
          <w:sz w:val="24"/>
        </w:rPr>
        <w:t>提调高腐烂病的防治效果。长期施用同种药物会使病原菌产生抗药性，更新防治用药种类可减缓抗药性的发展。</w:t>
      </w:r>
      <w:r>
        <w:rPr>
          <w:rFonts w:hint="eastAsia" w:eastAsia="仿宋_GB2312"/>
          <w:bCs/>
          <w:sz w:val="24"/>
          <w:lang w:val="en-US" w:eastAsia="zh-CN"/>
        </w:rPr>
        <w:t>同时</w:t>
      </w:r>
      <w:r>
        <w:rPr>
          <w:rFonts w:hint="eastAsia" w:eastAsia="仿宋_GB2312"/>
          <w:bCs/>
          <w:sz w:val="24"/>
        </w:rPr>
        <w:t>，长期施用一些药剂会使得单一元素大量累积对环境产生负面影响，通过更新用药种类，减少环境有毒有害物质累积。</w:t>
      </w:r>
      <w:r>
        <w:rPr>
          <w:rFonts w:hint="eastAsia" w:eastAsia="仿宋_GB2312"/>
          <w:bCs/>
          <w:sz w:val="24"/>
          <w:lang w:val="en-US" w:eastAsia="zh-CN"/>
        </w:rPr>
        <w:t>此外，</w:t>
      </w:r>
      <w:r>
        <w:rPr>
          <w:rFonts w:hint="eastAsia" w:eastAsia="仿宋_GB2312"/>
          <w:bCs/>
          <w:sz w:val="24"/>
        </w:rPr>
        <w:t>农药使用的法规和标准在不断更新，需要根据最新的法规要求调整用药，确保农产品符合更新的食品安全标准。</w:t>
      </w:r>
    </w:p>
    <w:p w14:paraId="3C4CCA03">
      <w:pPr>
        <w:spacing w:line="360" w:lineRule="auto"/>
        <w:ind w:firstLine="480" w:firstLineChars="200"/>
        <w:rPr>
          <w:rFonts w:hint="eastAsia" w:eastAsia="仿宋_GB2312"/>
          <w:bCs/>
          <w:sz w:val="24"/>
          <w:lang w:val="en-US" w:eastAsia="zh-CN"/>
        </w:rPr>
      </w:pPr>
      <w:r>
        <w:rPr>
          <w:rFonts w:hint="eastAsia" w:eastAsia="仿宋_GB2312"/>
          <w:bCs/>
          <w:sz w:val="24"/>
          <w:lang w:val="en-US" w:eastAsia="zh-CN"/>
        </w:rPr>
        <w:t>（7）增加了防治档案的规定（见7）。修订原因：对病害的发生发展过程及防治过程进行科学地记录是重要的数据资料。记录有助于分析和解决在实际病害防治中出现的问题，是不断优化和调整防治策略的重要依据，也助于增强果农对病虫害防治的意识。</w:t>
      </w:r>
    </w:p>
    <w:p w14:paraId="111B55E0">
      <w:pPr>
        <w:spacing w:line="360" w:lineRule="auto"/>
        <w:ind w:firstLine="480" w:firstLineChars="200"/>
        <w:outlineLvl w:val="0"/>
        <w:rPr>
          <w:rFonts w:ascii="黑体" w:eastAsia="黑体"/>
          <w:sz w:val="24"/>
        </w:rPr>
      </w:pPr>
      <w:r>
        <w:rPr>
          <w:rFonts w:hint="eastAsia" w:ascii="黑体" w:eastAsia="黑体"/>
          <w:sz w:val="24"/>
        </w:rPr>
        <w:t>六</w:t>
      </w:r>
      <w:r>
        <w:rPr>
          <w:rFonts w:ascii="黑体" w:eastAsia="黑体"/>
          <w:sz w:val="24"/>
        </w:rPr>
        <w:t>、</w:t>
      </w:r>
      <w:r>
        <w:rPr>
          <w:rFonts w:hint="eastAsia" w:ascii="黑体" w:eastAsia="黑体"/>
          <w:sz w:val="24"/>
        </w:rPr>
        <w:t>重大</w:t>
      </w:r>
      <w:r>
        <w:rPr>
          <w:rFonts w:ascii="黑体" w:eastAsia="黑体"/>
          <w:sz w:val="24"/>
        </w:rPr>
        <w:t>意见分歧的处理依据和结果</w:t>
      </w:r>
    </w:p>
    <w:p w14:paraId="545EC435">
      <w:pPr>
        <w:spacing w:line="360" w:lineRule="auto"/>
        <w:ind w:firstLine="480" w:firstLineChars="200"/>
        <w:outlineLvl w:val="0"/>
        <w:rPr>
          <w:rFonts w:hint="eastAsia" w:eastAsia="仿宋_GB2312"/>
          <w:bCs/>
          <w:sz w:val="24"/>
        </w:rPr>
      </w:pPr>
      <w:r>
        <w:rPr>
          <w:rFonts w:hint="eastAsia" w:eastAsia="仿宋_GB2312"/>
          <w:bCs/>
          <w:sz w:val="24"/>
        </w:rPr>
        <w:t>标准文本初稿形成后，修订工作组分别向运城市果业</w:t>
      </w:r>
      <w:r>
        <w:rPr>
          <w:rFonts w:eastAsia="仿宋_GB2312"/>
          <w:bCs/>
          <w:sz w:val="24"/>
        </w:rPr>
        <w:t>发展中心</w:t>
      </w:r>
      <w:r>
        <w:rPr>
          <w:rFonts w:hint="eastAsia" w:eastAsia="仿宋_GB2312"/>
          <w:bCs/>
          <w:sz w:val="24"/>
        </w:rPr>
        <w:t>，蒲县农业发展中心、大宁县科教局、临汾市农业生态保护发展中心</w:t>
      </w:r>
      <w:r>
        <w:rPr>
          <w:rFonts w:hint="eastAsia" w:eastAsia="仿宋_GB2312"/>
          <w:bCs/>
          <w:sz w:val="24"/>
          <w:lang w:val="en-US" w:eastAsia="zh-CN"/>
        </w:rPr>
        <w:t>等</w:t>
      </w:r>
      <w:r>
        <w:rPr>
          <w:rFonts w:hint="eastAsia" w:eastAsia="仿宋_GB2312"/>
          <w:bCs/>
          <w:sz w:val="24"/>
        </w:rPr>
        <w:t>发送意见反馈表</w:t>
      </w:r>
      <w:r>
        <w:rPr>
          <w:rFonts w:eastAsia="仿宋_GB2312"/>
          <w:bCs/>
          <w:sz w:val="24"/>
        </w:rPr>
        <w:t>4</w:t>
      </w:r>
      <w:r>
        <w:rPr>
          <w:rFonts w:hint="eastAsia" w:eastAsia="仿宋_GB2312"/>
          <w:bCs/>
          <w:sz w:val="24"/>
        </w:rPr>
        <w:t>份，收到意见反馈表</w:t>
      </w:r>
      <w:r>
        <w:rPr>
          <w:rFonts w:eastAsia="仿宋_GB2312"/>
          <w:bCs/>
          <w:sz w:val="24"/>
        </w:rPr>
        <w:t>4</w:t>
      </w:r>
      <w:r>
        <w:rPr>
          <w:rFonts w:hint="eastAsia" w:eastAsia="仿宋_GB2312"/>
          <w:bCs/>
          <w:sz w:val="24"/>
        </w:rPr>
        <w:t>份，提出修改意见</w:t>
      </w:r>
      <w:r>
        <w:rPr>
          <w:rFonts w:hint="eastAsia" w:eastAsia="仿宋_GB2312"/>
          <w:bCs/>
          <w:sz w:val="24"/>
          <w:lang w:val="en-US" w:eastAsia="zh-CN"/>
        </w:rPr>
        <w:t>10</w:t>
      </w:r>
      <w:r>
        <w:rPr>
          <w:rFonts w:hint="eastAsia" w:eastAsia="仿宋_GB2312"/>
          <w:bCs/>
          <w:sz w:val="24"/>
        </w:rPr>
        <w:t>条，采纳意见</w:t>
      </w:r>
      <w:r>
        <w:rPr>
          <w:rFonts w:hint="eastAsia" w:eastAsia="仿宋_GB2312"/>
          <w:bCs/>
          <w:sz w:val="24"/>
          <w:lang w:val="en-US" w:eastAsia="zh-CN"/>
        </w:rPr>
        <w:t>10</w:t>
      </w:r>
      <w:r>
        <w:rPr>
          <w:rFonts w:hint="eastAsia" w:eastAsia="仿宋_GB2312"/>
          <w:bCs/>
          <w:sz w:val="24"/>
        </w:rPr>
        <w:t>条，未采纳意见0条（详见附表）。工作组已针对收到的反馈意见对标准文本进行了修改，最终形成本标准送审文稿。</w:t>
      </w:r>
    </w:p>
    <w:p w14:paraId="53EC2360">
      <w:pPr>
        <w:spacing w:line="360" w:lineRule="auto"/>
        <w:ind w:firstLine="480" w:firstLineChars="200"/>
        <w:outlineLvl w:val="0"/>
        <w:rPr>
          <w:rFonts w:ascii="黑体" w:eastAsia="黑体"/>
          <w:sz w:val="24"/>
        </w:rPr>
      </w:pPr>
      <w:r>
        <w:rPr>
          <w:rFonts w:hint="eastAsia" w:ascii="黑体" w:eastAsia="黑体"/>
          <w:sz w:val="24"/>
        </w:rPr>
        <w:t>七</w:t>
      </w:r>
      <w:r>
        <w:rPr>
          <w:rFonts w:ascii="黑体" w:eastAsia="黑体"/>
          <w:sz w:val="24"/>
        </w:rPr>
        <w:t>、</w:t>
      </w:r>
      <w:r>
        <w:rPr>
          <w:rFonts w:hint="eastAsia" w:ascii="黑体" w:eastAsia="黑体"/>
          <w:sz w:val="24"/>
        </w:rPr>
        <w:t>采标</w:t>
      </w:r>
      <w:r>
        <w:rPr>
          <w:rFonts w:ascii="黑体" w:eastAsia="黑体"/>
          <w:sz w:val="24"/>
        </w:rPr>
        <w:t>情况，是否合规引用或采用国际标准和国外先进标准，以及与国内外同类标准水平的对比情况</w:t>
      </w:r>
    </w:p>
    <w:p w14:paraId="20620BAD">
      <w:pPr>
        <w:pStyle w:val="2"/>
        <w:spacing w:line="360" w:lineRule="auto"/>
        <w:ind w:left="0" w:leftChars="0" w:firstLine="420" w:firstLineChars="175"/>
        <w:rPr>
          <w:rFonts w:hint="eastAsia" w:ascii="Times New Roman" w:hAnsi="Times New Roman"/>
          <w:bCs/>
          <w:sz w:val="24"/>
          <w:szCs w:val="24"/>
        </w:rPr>
      </w:pPr>
      <w:r>
        <w:rPr>
          <w:rFonts w:hint="eastAsia" w:ascii="Times New Roman" w:hAnsi="Times New Roman"/>
          <w:bCs/>
          <w:sz w:val="24"/>
          <w:szCs w:val="24"/>
        </w:rPr>
        <w:t>本标准</w:t>
      </w:r>
      <w:r>
        <w:rPr>
          <w:rFonts w:ascii="Times New Roman" w:hAnsi="Times New Roman"/>
          <w:bCs/>
          <w:sz w:val="24"/>
          <w:szCs w:val="24"/>
        </w:rPr>
        <w:t>在修订过程中充分参考了</w:t>
      </w:r>
      <w:r>
        <w:rPr>
          <w:rFonts w:hint="eastAsia" w:ascii="Times New Roman" w:hAnsi="Times New Roman"/>
          <w:bCs/>
          <w:sz w:val="24"/>
          <w:szCs w:val="24"/>
        </w:rPr>
        <w:t>国标GB/T 17980.117-2004, 农药田间药效试验准则(二)第117部分：杀菌剂防治苹果和梨树腐烂病和GB/T 17980.116-2004, 农药田间药效试验准则(二)第116部分：杀菌剂防治苹果和梨树腐烂病疤(斑)复发中</w:t>
      </w:r>
      <w:r>
        <w:rPr>
          <w:rFonts w:ascii="Times New Roman" w:hAnsi="Times New Roman"/>
          <w:bCs/>
          <w:sz w:val="24"/>
          <w:szCs w:val="24"/>
        </w:rPr>
        <w:t>的有关</w:t>
      </w:r>
      <w:r>
        <w:rPr>
          <w:rFonts w:hint="eastAsia" w:ascii="Times New Roman" w:hAnsi="Times New Roman"/>
          <w:bCs/>
          <w:sz w:val="24"/>
          <w:szCs w:val="24"/>
        </w:rPr>
        <w:t>药剂</w:t>
      </w:r>
      <w:r>
        <w:rPr>
          <w:rFonts w:ascii="Times New Roman" w:hAnsi="Times New Roman"/>
          <w:bCs/>
          <w:sz w:val="24"/>
          <w:szCs w:val="24"/>
        </w:rPr>
        <w:t>种类，另结合</w:t>
      </w:r>
      <w:r>
        <w:rPr>
          <w:rFonts w:hint="eastAsia" w:ascii="Times New Roman" w:hAnsi="Times New Roman"/>
          <w:bCs/>
          <w:sz w:val="24"/>
          <w:szCs w:val="24"/>
        </w:rPr>
        <w:t>行业</w:t>
      </w:r>
      <w:r>
        <w:rPr>
          <w:rFonts w:ascii="Times New Roman" w:hAnsi="Times New Roman"/>
          <w:bCs/>
          <w:sz w:val="24"/>
          <w:szCs w:val="24"/>
        </w:rPr>
        <w:t>标准</w:t>
      </w:r>
      <w:r>
        <w:rPr>
          <w:rFonts w:hint="eastAsia" w:ascii="Times New Roman" w:hAnsi="Times New Roman"/>
          <w:bCs/>
          <w:sz w:val="24"/>
          <w:szCs w:val="24"/>
        </w:rPr>
        <w:t>NY/T 2684-2015 苹果树腐烂病防治技术规程，</w:t>
      </w:r>
      <w:r>
        <w:rPr>
          <w:rFonts w:ascii="Times New Roman" w:hAnsi="Times New Roman"/>
          <w:bCs/>
          <w:sz w:val="24"/>
          <w:szCs w:val="24"/>
        </w:rPr>
        <w:t>取长补短，针对山西省的地里位置和果树栽植情况进行了撰写。</w:t>
      </w:r>
    </w:p>
    <w:p w14:paraId="1EB64C24">
      <w:pPr>
        <w:spacing w:line="360" w:lineRule="auto"/>
        <w:ind w:firstLine="480" w:firstLineChars="200"/>
        <w:outlineLvl w:val="0"/>
        <w:rPr>
          <w:rFonts w:ascii="黑体" w:eastAsia="黑体"/>
          <w:sz w:val="24"/>
        </w:rPr>
      </w:pPr>
      <w:r>
        <w:rPr>
          <w:rFonts w:hint="eastAsia" w:ascii="黑体" w:eastAsia="黑体"/>
          <w:sz w:val="24"/>
        </w:rPr>
        <w:t>八、</w:t>
      </w:r>
      <w:r>
        <w:rPr>
          <w:rFonts w:hint="eastAsia" w:ascii="黑体" w:hAnsi="黑体" w:eastAsia="黑体"/>
          <w:sz w:val="24"/>
        </w:rPr>
        <w:t>作为推荐性标准或者强制性标准的建议及其理由。</w:t>
      </w:r>
    </w:p>
    <w:p w14:paraId="17338232">
      <w:pPr>
        <w:spacing w:line="360" w:lineRule="auto"/>
        <w:ind w:firstLine="480" w:firstLineChars="200"/>
        <w:rPr>
          <w:rFonts w:eastAsia="仿宋_GB2312"/>
          <w:bCs/>
          <w:sz w:val="24"/>
        </w:rPr>
      </w:pPr>
      <w:r>
        <w:rPr>
          <w:rFonts w:hint="eastAsia" w:eastAsia="仿宋_GB2312"/>
          <w:bCs/>
          <w:sz w:val="24"/>
        </w:rPr>
        <w:t>建议本标准为推荐性标准。</w:t>
      </w:r>
    </w:p>
    <w:p w14:paraId="5F521442">
      <w:pPr>
        <w:spacing w:line="360" w:lineRule="auto"/>
        <w:ind w:firstLine="480" w:firstLineChars="200"/>
        <w:outlineLvl w:val="0"/>
        <w:rPr>
          <w:rFonts w:eastAsia="仿宋_GB2312"/>
          <w:bCs/>
          <w:sz w:val="24"/>
        </w:rPr>
      </w:pPr>
      <w:r>
        <w:rPr>
          <w:rFonts w:hint="eastAsia" w:ascii="黑体" w:eastAsia="黑体"/>
          <w:sz w:val="24"/>
        </w:rPr>
        <w:t>九</w:t>
      </w:r>
      <w:r>
        <w:rPr>
          <w:rFonts w:ascii="黑体" w:eastAsia="黑体"/>
          <w:sz w:val="24"/>
        </w:rPr>
        <w:t>、</w:t>
      </w:r>
      <w:r>
        <w:rPr>
          <w:rFonts w:hint="eastAsia" w:ascii="黑体" w:eastAsia="黑体"/>
          <w:sz w:val="24"/>
        </w:rPr>
        <w:t>实施</w:t>
      </w:r>
      <w:r>
        <w:rPr>
          <w:rFonts w:ascii="黑体" w:eastAsia="黑体"/>
          <w:sz w:val="24"/>
        </w:rPr>
        <w:t>标准的措施建议</w:t>
      </w:r>
    </w:p>
    <w:p w14:paraId="72A3592A">
      <w:pPr>
        <w:spacing w:line="360" w:lineRule="auto"/>
        <w:ind w:firstLine="480" w:firstLineChars="200"/>
        <w:rPr>
          <w:rFonts w:ascii="仿宋_GB2312" w:hAnsi="宋体" w:eastAsia="仿宋_GB2312"/>
          <w:sz w:val="24"/>
        </w:rPr>
      </w:pPr>
      <w:r>
        <w:rPr>
          <w:rFonts w:hint="eastAsia" w:eastAsia="仿宋_GB2312"/>
          <w:bCs/>
          <w:sz w:val="24"/>
        </w:rPr>
        <w:t>1、加强标准宣传培训：通过文字、图片、音视频等多种形式，通过网络媒体、服务平台及果树生产相关讲座培训班对本标准进行宣传及详解，并分发宣传资料。</w:t>
      </w:r>
      <w:r>
        <w:rPr>
          <w:rFonts w:hint="eastAsia" w:ascii="仿宋_GB2312" w:hAnsi="宋体" w:eastAsia="仿宋_GB2312"/>
          <w:sz w:val="24"/>
        </w:rPr>
        <w:t>提高果农对苹果树腐烂病的防治意识和操作技能。</w:t>
      </w:r>
    </w:p>
    <w:p w14:paraId="6DC1DBD3">
      <w:pPr>
        <w:spacing w:line="360" w:lineRule="auto"/>
        <w:ind w:firstLine="480" w:firstLineChars="200"/>
        <w:rPr>
          <w:rFonts w:eastAsia="仿宋_GB2312"/>
          <w:bCs/>
          <w:sz w:val="24"/>
        </w:rPr>
      </w:pPr>
      <w:r>
        <w:rPr>
          <w:rFonts w:hint="eastAsia" w:eastAsia="仿宋_GB2312"/>
          <w:bCs/>
          <w:sz w:val="24"/>
        </w:rPr>
        <w:t>2、试点示范工作：依托现有苹果种植示范园进行苹果</w:t>
      </w:r>
      <w:r>
        <w:rPr>
          <w:rFonts w:hint="eastAsia" w:eastAsia="仿宋_GB2312"/>
          <w:bCs/>
          <w:sz w:val="24"/>
          <w:lang w:val="en-US" w:eastAsia="zh-CN"/>
        </w:rPr>
        <w:t>树</w:t>
      </w:r>
      <w:r>
        <w:rPr>
          <w:rFonts w:hint="eastAsia" w:eastAsia="仿宋_GB2312"/>
          <w:bCs/>
          <w:sz w:val="24"/>
        </w:rPr>
        <w:t>腐烂病防治标准化试点工作，传播标准化防治理念的同时，持续验证标准有效性，探索更多标准实施经验。</w:t>
      </w:r>
    </w:p>
    <w:p w14:paraId="465A6C55">
      <w:pPr>
        <w:spacing w:line="360" w:lineRule="auto"/>
        <w:ind w:firstLine="480" w:firstLineChars="200"/>
        <w:rPr>
          <w:rFonts w:eastAsia="仿宋_GB2312"/>
          <w:bCs/>
          <w:sz w:val="24"/>
        </w:rPr>
      </w:pPr>
      <w:r>
        <w:rPr>
          <w:rFonts w:hint="eastAsia" w:eastAsia="仿宋_GB2312"/>
          <w:bCs/>
          <w:sz w:val="24"/>
        </w:rPr>
        <w:t>3、技术支撑：依托标准试点、网络媒体、服务平台等与果农搭建沟通渠道，及时提供技术指导，针对果园个性化问题给出解决方案，并及时跟踪本标准实施情况，收集反馈意见。</w:t>
      </w:r>
    </w:p>
    <w:p w14:paraId="3EF52DDF">
      <w:pPr>
        <w:spacing w:line="360" w:lineRule="auto"/>
        <w:ind w:firstLine="480" w:firstLineChars="200"/>
        <w:rPr>
          <w:rFonts w:hint="eastAsia" w:eastAsia="仿宋_GB2312"/>
          <w:bCs/>
          <w:sz w:val="24"/>
        </w:rPr>
      </w:pPr>
      <w:r>
        <w:rPr>
          <w:rFonts w:hint="eastAsia" w:eastAsia="仿宋_GB2312"/>
          <w:bCs/>
          <w:sz w:val="24"/>
        </w:rPr>
        <w:t>4、加强组织管理：各级农业生产组织加强推动本标准的实施。</w:t>
      </w:r>
    </w:p>
    <w:p w14:paraId="50864FEF">
      <w:pPr>
        <w:pStyle w:val="2"/>
        <w:spacing w:line="360" w:lineRule="auto"/>
        <w:rPr>
          <w:rFonts w:hint="eastAsia" w:eastAsia="仿宋_GB2312"/>
          <w:bCs/>
          <w:sz w:val="24"/>
        </w:rPr>
      </w:pPr>
    </w:p>
    <w:p w14:paraId="78D595DB">
      <w:pPr>
        <w:pStyle w:val="4"/>
        <w:rPr>
          <w:rFonts w:hint="eastAsia" w:eastAsia="仿宋_GB2312"/>
          <w:bCs/>
          <w:sz w:val="24"/>
        </w:rPr>
      </w:pPr>
    </w:p>
    <w:p w14:paraId="15C4904C">
      <w:pPr>
        <w:rPr>
          <w:rFonts w:hint="eastAsia" w:eastAsia="仿宋_GB2312"/>
          <w:bCs/>
          <w:sz w:val="24"/>
        </w:rPr>
      </w:pPr>
    </w:p>
    <w:p w14:paraId="5AFD7D43">
      <w:pPr>
        <w:pStyle w:val="2"/>
        <w:rPr>
          <w:rFonts w:hint="eastAsia" w:eastAsia="仿宋_GB2312"/>
          <w:bCs/>
          <w:sz w:val="24"/>
        </w:rPr>
      </w:pPr>
    </w:p>
    <w:p w14:paraId="2ECBE209">
      <w:pPr>
        <w:pStyle w:val="4"/>
        <w:rPr>
          <w:rFonts w:hint="eastAsia" w:eastAsia="仿宋_GB2312"/>
          <w:bCs/>
          <w:sz w:val="24"/>
        </w:rPr>
      </w:pPr>
    </w:p>
    <w:p w14:paraId="2C25AE27">
      <w:pPr>
        <w:rPr>
          <w:rFonts w:hint="eastAsia" w:eastAsia="仿宋_GB2312"/>
          <w:bCs/>
          <w:sz w:val="24"/>
        </w:rPr>
      </w:pPr>
    </w:p>
    <w:p w14:paraId="2152EA1A">
      <w:pPr>
        <w:spacing w:line="360" w:lineRule="auto"/>
        <w:jc w:val="left"/>
        <w:rPr>
          <w:rFonts w:hint="eastAsia" w:ascii="仿宋_GB2312" w:hAnsi="宋体" w:eastAsia="仿宋_GB2312"/>
          <w:sz w:val="24"/>
        </w:rPr>
        <w:sectPr>
          <w:footerReference r:id="rId3" w:type="default"/>
          <w:pgSz w:w="11906" w:h="16838"/>
          <w:pgMar w:top="1440" w:right="1803" w:bottom="1440" w:left="1803" w:header="851" w:footer="992" w:gutter="0"/>
          <w:pgNumType w:start="1"/>
          <w:cols w:space="0" w:num="1"/>
          <w:titlePg/>
          <w:docGrid w:type="lines" w:linePitch="319" w:charSpace="0"/>
        </w:sectPr>
      </w:pPr>
    </w:p>
    <w:p w14:paraId="001CEB4B">
      <w:pPr>
        <w:autoSpaceDE w:val="0"/>
        <w:autoSpaceDN w:val="0"/>
        <w:adjustRightInd w:val="0"/>
        <w:spacing w:line="360" w:lineRule="auto"/>
        <w:rPr>
          <w:rFonts w:ascii="仿宋_GB2312" w:hAnsi="宋体" w:eastAsia="仿宋_GB2312"/>
          <w:sz w:val="24"/>
        </w:rPr>
      </w:pPr>
      <w:r>
        <w:rPr>
          <w:rFonts w:hint="eastAsia" w:ascii="仿宋_GB2312" w:hAnsi="宋体" w:eastAsia="仿宋_GB2312"/>
          <w:sz w:val="24"/>
        </w:rPr>
        <w:t>附表</w:t>
      </w:r>
      <w:bookmarkStart w:id="0" w:name="_GoBack"/>
      <w:bookmarkEnd w:id="0"/>
    </w:p>
    <w:p w14:paraId="225D27AB">
      <w:pPr>
        <w:pStyle w:val="7"/>
        <w:spacing w:line="360" w:lineRule="auto"/>
        <w:ind w:firstLine="480"/>
        <w:jc w:val="center"/>
        <w:rPr>
          <w:rFonts w:ascii="仿宋_GB2312" w:hAnsi="宋体" w:eastAsia="仿宋_GB2312"/>
          <w:sz w:val="24"/>
          <w:szCs w:val="24"/>
        </w:rPr>
      </w:pPr>
      <w:r>
        <w:rPr>
          <w:rFonts w:hint="eastAsia" w:ascii="仿宋_GB2312" w:hAnsi="宋体" w:eastAsia="仿宋_GB2312"/>
          <w:sz w:val="24"/>
          <w:szCs w:val="24"/>
        </w:rPr>
        <w:t>《苹果树腐烂病综合防治技术规程》 地方标准征求意见汇总处理表</w:t>
      </w:r>
    </w:p>
    <w:p w14:paraId="4B616341">
      <w:pPr>
        <w:pStyle w:val="7"/>
        <w:spacing w:line="360" w:lineRule="auto"/>
        <w:rPr>
          <w:rFonts w:ascii="宋体" w:hAnsi="Calibri" w:cs="宋体"/>
          <w:kern w:val="0"/>
        </w:rPr>
      </w:pPr>
      <w:r>
        <w:rPr>
          <w:rFonts w:hint="eastAsia" w:ascii="宋体" w:hAnsi="Calibri" w:cs="宋体"/>
          <w:kern w:val="0"/>
        </w:rPr>
        <w:t xml:space="preserve">起草单位：山西农业大学        </w:t>
      </w:r>
    </w:p>
    <w:p w14:paraId="4B9E8C56">
      <w:pPr>
        <w:pStyle w:val="7"/>
        <w:spacing w:line="360" w:lineRule="auto"/>
        <w:ind w:firstLine="315" w:firstLineChars="150"/>
        <w:rPr>
          <w:rFonts w:ascii="仿宋_GB2312" w:eastAsia="仿宋_GB2312"/>
          <w:sz w:val="30"/>
          <w:szCs w:val="30"/>
        </w:rPr>
      </w:pPr>
      <w:r>
        <w:rPr>
          <w:rFonts w:hint="eastAsia" w:ascii="宋体" w:hAnsi="Calibri" w:cs="宋体"/>
          <w:kern w:val="0"/>
        </w:rPr>
        <w:t xml:space="preserve"> 承办人：赵龙龙       联系电话：</w:t>
      </w:r>
      <w:r>
        <w:rPr>
          <w:rFonts w:ascii="宋体" w:hAnsi="宋体"/>
        </w:rPr>
        <w:t>13835437008</w:t>
      </w:r>
      <w:r>
        <w:rPr>
          <w:rFonts w:hint="eastAsia" w:ascii="宋体" w:hAnsi="宋体"/>
        </w:rPr>
        <w:t xml:space="preserve"> </w:t>
      </w:r>
      <w:r>
        <w:rPr>
          <w:rFonts w:hint="eastAsia" w:ascii="宋体" w:hAnsi="宋体"/>
          <w:sz w:val="24"/>
          <w:szCs w:val="24"/>
        </w:rPr>
        <w:t xml:space="preserve">   </w:t>
      </w:r>
      <w:r>
        <w:rPr>
          <w:rFonts w:ascii="宋体" w:hAnsi="Calibri" w:cs="宋体"/>
          <w:kern w:val="0"/>
        </w:rPr>
        <w:t xml:space="preserve"> </w:t>
      </w:r>
      <w:r>
        <w:rPr>
          <w:rFonts w:hint="eastAsia" w:ascii="宋体" w:hAnsi="Calibri" w:cs="宋体"/>
          <w:kern w:val="0"/>
        </w:rPr>
        <w:t>填写时间：</w:t>
      </w:r>
      <w:r>
        <w:rPr>
          <w:rFonts w:hint="eastAsia" w:ascii="宋体" w:hAnsi="宋体"/>
        </w:rPr>
        <w:t>202</w:t>
      </w:r>
      <w:r>
        <w:rPr>
          <w:rFonts w:ascii="宋体" w:hAnsi="宋体"/>
        </w:rPr>
        <w:t>4</w:t>
      </w:r>
      <w:r>
        <w:rPr>
          <w:rFonts w:hint="eastAsia" w:ascii="宋体" w:hAnsi="宋体"/>
        </w:rPr>
        <w:t>年</w:t>
      </w:r>
      <w:r>
        <w:rPr>
          <w:rFonts w:ascii="宋体" w:hAnsi="宋体"/>
        </w:rPr>
        <w:t>8</w:t>
      </w:r>
      <w:r>
        <w:rPr>
          <w:rFonts w:hint="eastAsia" w:ascii="宋体" w:hAnsi="宋体"/>
        </w:rPr>
        <w:t>月</w:t>
      </w:r>
      <w:r>
        <w:rPr>
          <w:rFonts w:ascii="宋体" w:hAnsi="宋体"/>
        </w:rPr>
        <w:t>12</w:t>
      </w:r>
      <w:r>
        <w:rPr>
          <w:rFonts w:hint="eastAsia" w:ascii="宋体" w:hAnsi="宋体"/>
        </w:rPr>
        <w:t>日</w:t>
      </w:r>
    </w:p>
    <w:tbl>
      <w:tblPr>
        <w:tblStyle w:val="15"/>
        <w:tblW w:w="137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850"/>
        <w:gridCol w:w="6975"/>
        <w:gridCol w:w="2976"/>
        <w:gridCol w:w="1276"/>
        <w:gridCol w:w="1227"/>
      </w:tblGrid>
      <w:tr w14:paraId="5D1AB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tcBorders>
              <w:top w:val="single" w:color="auto" w:sz="4" w:space="0"/>
              <w:left w:val="single" w:color="auto" w:sz="4" w:space="0"/>
              <w:bottom w:val="single" w:color="auto" w:sz="4" w:space="0"/>
              <w:right w:val="single" w:color="auto" w:sz="4" w:space="0"/>
            </w:tcBorders>
            <w:vAlign w:val="center"/>
          </w:tcPr>
          <w:p w14:paraId="401DF3AC">
            <w:pPr>
              <w:snapToGrid w:val="0"/>
              <w:spacing w:line="360" w:lineRule="auto"/>
              <w:jc w:val="center"/>
              <w:rPr>
                <w:sz w:val="18"/>
                <w:szCs w:val="18"/>
              </w:rPr>
            </w:pPr>
            <w:r>
              <w:rPr>
                <w:kern w:val="0"/>
                <w:sz w:val="18"/>
                <w:szCs w:val="18"/>
              </w:rPr>
              <w:t>序号</w:t>
            </w:r>
          </w:p>
        </w:tc>
        <w:tc>
          <w:tcPr>
            <w:tcW w:w="850" w:type="dxa"/>
            <w:tcBorders>
              <w:top w:val="single" w:color="auto" w:sz="4" w:space="0"/>
              <w:left w:val="single" w:color="auto" w:sz="4" w:space="0"/>
              <w:bottom w:val="single" w:color="auto" w:sz="4" w:space="0"/>
              <w:right w:val="single" w:color="auto" w:sz="4" w:space="0"/>
            </w:tcBorders>
            <w:vAlign w:val="center"/>
          </w:tcPr>
          <w:p w14:paraId="16541B91">
            <w:pPr>
              <w:snapToGrid w:val="0"/>
              <w:spacing w:line="360" w:lineRule="auto"/>
              <w:jc w:val="center"/>
              <w:rPr>
                <w:sz w:val="18"/>
                <w:szCs w:val="18"/>
              </w:rPr>
            </w:pPr>
            <w:r>
              <w:rPr>
                <w:kern w:val="0"/>
                <w:sz w:val="18"/>
                <w:szCs w:val="18"/>
              </w:rPr>
              <w:t>标准章条编号</w:t>
            </w:r>
          </w:p>
        </w:tc>
        <w:tc>
          <w:tcPr>
            <w:tcW w:w="6975" w:type="dxa"/>
            <w:tcBorders>
              <w:top w:val="single" w:color="auto" w:sz="4" w:space="0"/>
              <w:left w:val="single" w:color="auto" w:sz="4" w:space="0"/>
              <w:bottom w:val="single" w:color="auto" w:sz="4" w:space="0"/>
              <w:right w:val="single" w:color="auto" w:sz="4" w:space="0"/>
            </w:tcBorders>
            <w:vAlign w:val="center"/>
          </w:tcPr>
          <w:p w14:paraId="77BB5F57">
            <w:pPr>
              <w:snapToGrid w:val="0"/>
              <w:spacing w:line="360" w:lineRule="auto"/>
              <w:jc w:val="center"/>
              <w:rPr>
                <w:kern w:val="0"/>
                <w:sz w:val="18"/>
                <w:szCs w:val="18"/>
              </w:rPr>
            </w:pPr>
            <w:r>
              <w:rPr>
                <w:kern w:val="0"/>
                <w:sz w:val="18"/>
                <w:szCs w:val="18"/>
              </w:rPr>
              <w:t>意见内容</w:t>
            </w:r>
          </w:p>
        </w:tc>
        <w:tc>
          <w:tcPr>
            <w:tcW w:w="2976" w:type="dxa"/>
            <w:tcBorders>
              <w:top w:val="single" w:color="auto" w:sz="4" w:space="0"/>
              <w:left w:val="single" w:color="auto" w:sz="4" w:space="0"/>
              <w:bottom w:val="single" w:color="auto" w:sz="4" w:space="0"/>
              <w:right w:val="single" w:color="auto" w:sz="4" w:space="0"/>
            </w:tcBorders>
            <w:vAlign w:val="center"/>
          </w:tcPr>
          <w:p w14:paraId="62EC8345">
            <w:pPr>
              <w:snapToGrid w:val="0"/>
              <w:spacing w:line="360" w:lineRule="auto"/>
              <w:jc w:val="center"/>
              <w:rPr>
                <w:kern w:val="0"/>
                <w:sz w:val="18"/>
                <w:szCs w:val="18"/>
              </w:rPr>
            </w:pPr>
            <w:r>
              <w:rPr>
                <w:kern w:val="0"/>
                <w:sz w:val="18"/>
                <w:szCs w:val="18"/>
              </w:rPr>
              <w:t>提出单位</w:t>
            </w:r>
          </w:p>
        </w:tc>
        <w:tc>
          <w:tcPr>
            <w:tcW w:w="1276" w:type="dxa"/>
            <w:tcBorders>
              <w:top w:val="single" w:color="auto" w:sz="4" w:space="0"/>
              <w:left w:val="single" w:color="auto" w:sz="4" w:space="0"/>
              <w:bottom w:val="single" w:color="auto" w:sz="4" w:space="0"/>
              <w:right w:val="single" w:color="auto" w:sz="4" w:space="0"/>
            </w:tcBorders>
            <w:vAlign w:val="center"/>
          </w:tcPr>
          <w:p w14:paraId="433E132C">
            <w:pPr>
              <w:snapToGrid w:val="0"/>
              <w:spacing w:line="360" w:lineRule="auto"/>
              <w:jc w:val="center"/>
              <w:rPr>
                <w:kern w:val="0"/>
                <w:sz w:val="18"/>
                <w:szCs w:val="18"/>
              </w:rPr>
            </w:pPr>
            <w:r>
              <w:rPr>
                <w:kern w:val="0"/>
                <w:sz w:val="18"/>
                <w:szCs w:val="18"/>
              </w:rPr>
              <w:t>处理意见</w:t>
            </w:r>
          </w:p>
          <w:p w14:paraId="528AC68B">
            <w:pPr>
              <w:snapToGrid w:val="0"/>
              <w:spacing w:line="360" w:lineRule="auto"/>
              <w:jc w:val="center"/>
              <w:rPr>
                <w:kern w:val="0"/>
                <w:sz w:val="18"/>
                <w:szCs w:val="18"/>
              </w:rPr>
            </w:pPr>
            <w:r>
              <w:rPr>
                <w:kern w:val="0"/>
                <w:sz w:val="18"/>
                <w:szCs w:val="18"/>
              </w:rPr>
              <w:t>（采纳/不采纳）</w:t>
            </w:r>
          </w:p>
        </w:tc>
        <w:tc>
          <w:tcPr>
            <w:tcW w:w="1227" w:type="dxa"/>
            <w:tcBorders>
              <w:top w:val="single" w:color="auto" w:sz="4" w:space="0"/>
              <w:left w:val="single" w:color="auto" w:sz="4" w:space="0"/>
              <w:bottom w:val="single" w:color="auto" w:sz="4" w:space="0"/>
              <w:right w:val="single" w:color="auto" w:sz="4" w:space="0"/>
            </w:tcBorders>
            <w:vAlign w:val="center"/>
          </w:tcPr>
          <w:p w14:paraId="79F5B70A">
            <w:pPr>
              <w:snapToGrid w:val="0"/>
              <w:spacing w:line="360" w:lineRule="auto"/>
              <w:jc w:val="center"/>
              <w:rPr>
                <w:kern w:val="0"/>
                <w:sz w:val="18"/>
                <w:szCs w:val="18"/>
              </w:rPr>
            </w:pPr>
            <w:r>
              <w:rPr>
                <w:kern w:val="0"/>
                <w:sz w:val="18"/>
                <w:szCs w:val="18"/>
              </w:rPr>
              <w:t>意见处理说明</w:t>
            </w:r>
          </w:p>
          <w:p w14:paraId="6A8F9B19">
            <w:pPr>
              <w:snapToGrid w:val="0"/>
              <w:spacing w:line="360" w:lineRule="auto"/>
              <w:jc w:val="center"/>
              <w:rPr>
                <w:kern w:val="0"/>
                <w:sz w:val="18"/>
                <w:szCs w:val="18"/>
              </w:rPr>
            </w:pPr>
            <w:r>
              <w:rPr>
                <w:kern w:val="0"/>
                <w:sz w:val="18"/>
                <w:szCs w:val="18"/>
              </w:rPr>
              <w:t>（不采纳理由等）</w:t>
            </w:r>
          </w:p>
        </w:tc>
      </w:tr>
      <w:tr w14:paraId="57E26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tcBorders>
              <w:top w:val="single" w:color="auto" w:sz="4" w:space="0"/>
              <w:left w:val="single" w:color="auto" w:sz="4" w:space="0"/>
              <w:bottom w:val="single" w:color="auto" w:sz="4" w:space="0"/>
              <w:right w:val="single" w:color="auto" w:sz="4" w:space="0"/>
            </w:tcBorders>
            <w:vAlign w:val="center"/>
          </w:tcPr>
          <w:p w14:paraId="0C2819A6">
            <w:pPr>
              <w:snapToGrid w:val="0"/>
              <w:spacing w:line="360" w:lineRule="auto"/>
              <w:jc w:val="center"/>
              <w:rPr>
                <w:sz w:val="18"/>
                <w:szCs w:val="18"/>
              </w:rPr>
            </w:pPr>
            <w:r>
              <w:rPr>
                <w:sz w:val="18"/>
                <w:szCs w:val="18"/>
              </w:rPr>
              <w:t>1</w:t>
            </w:r>
          </w:p>
        </w:tc>
        <w:tc>
          <w:tcPr>
            <w:tcW w:w="850" w:type="dxa"/>
            <w:tcBorders>
              <w:top w:val="single" w:color="auto" w:sz="4" w:space="0"/>
              <w:left w:val="single" w:color="auto" w:sz="4" w:space="0"/>
              <w:bottom w:val="single" w:color="auto" w:sz="4" w:space="0"/>
              <w:right w:val="single" w:color="auto" w:sz="4" w:space="0"/>
            </w:tcBorders>
            <w:vAlign w:val="center"/>
          </w:tcPr>
          <w:p w14:paraId="75273EB6">
            <w:pPr>
              <w:snapToGrid w:val="0"/>
              <w:spacing w:line="360" w:lineRule="auto"/>
              <w:jc w:val="center"/>
              <w:rPr>
                <w:kern w:val="0"/>
                <w:sz w:val="18"/>
                <w:szCs w:val="18"/>
              </w:rPr>
            </w:pPr>
            <w:r>
              <w:rPr>
                <w:kern w:val="0"/>
                <w:sz w:val="18"/>
                <w:szCs w:val="18"/>
              </w:rPr>
              <w:t>2</w:t>
            </w:r>
          </w:p>
        </w:tc>
        <w:tc>
          <w:tcPr>
            <w:tcW w:w="6975" w:type="dxa"/>
            <w:tcBorders>
              <w:top w:val="single" w:color="auto" w:sz="4" w:space="0"/>
              <w:left w:val="single" w:color="auto" w:sz="4" w:space="0"/>
              <w:bottom w:val="single" w:color="auto" w:sz="4" w:space="0"/>
              <w:right w:val="single" w:color="auto" w:sz="4" w:space="0"/>
            </w:tcBorders>
            <w:vAlign w:val="center"/>
          </w:tcPr>
          <w:p w14:paraId="5DE4B738">
            <w:pPr>
              <w:snapToGrid w:val="0"/>
              <w:spacing w:line="360" w:lineRule="auto"/>
              <w:jc w:val="center"/>
              <w:rPr>
                <w:rFonts w:hint="eastAsia"/>
                <w:kern w:val="0"/>
                <w:sz w:val="18"/>
                <w:szCs w:val="18"/>
              </w:rPr>
            </w:pPr>
            <w:r>
              <w:rPr>
                <w:rFonts w:hint="eastAsia"/>
                <w:kern w:val="0"/>
                <w:sz w:val="18"/>
                <w:szCs w:val="18"/>
              </w:rPr>
              <w:t>建议将“GB/T 8321 农药合理使用准则。”更改为“</w:t>
            </w:r>
          </w:p>
          <w:p w14:paraId="76CBC03A">
            <w:pPr>
              <w:snapToGrid w:val="0"/>
              <w:spacing w:line="360" w:lineRule="auto"/>
              <w:jc w:val="center"/>
              <w:rPr>
                <w:rFonts w:hint="eastAsia" w:eastAsia="宋体"/>
                <w:kern w:val="0"/>
                <w:sz w:val="18"/>
                <w:szCs w:val="18"/>
                <w:lang w:eastAsia="zh-CN"/>
              </w:rPr>
            </w:pPr>
            <w:r>
              <w:rPr>
                <w:rFonts w:hint="eastAsia"/>
                <w:kern w:val="0"/>
                <w:sz w:val="18"/>
                <w:szCs w:val="18"/>
              </w:rPr>
              <w:t>GB/T 8321（所有部分）农药合理使用准则”NY/T 1276  农药安全使用规范总则。</w:t>
            </w:r>
            <w:r>
              <w:rPr>
                <w:rFonts w:hint="eastAsia"/>
                <w:kern w:val="0"/>
                <w:sz w:val="18"/>
                <w:szCs w:val="18"/>
                <w:lang w:eastAsia="zh-CN"/>
              </w:rPr>
              <w:t>”</w:t>
            </w:r>
          </w:p>
        </w:tc>
        <w:tc>
          <w:tcPr>
            <w:tcW w:w="2976" w:type="dxa"/>
            <w:tcBorders>
              <w:top w:val="single" w:color="auto" w:sz="4" w:space="0"/>
              <w:left w:val="single" w:color="auto" w:sz="4" w:space="0"/>
              <w:bottom w:val="single" w:color="auto" w:sz="4" w:space="0"/>
              <w:right w:val="single" w:color="auto" w:sz="4" w:space="0"/>
            </w:tcBorders>
            <w:vAlign w:val="center"/>
          </w:tcPr>
          <w:p w14:paraId="05282F7C">
            <w:pPr>
              <w:snapToGrid w:val="0"/>
              <w:spacing w:line="360" w:lineRule="auto"/>
              <w:jc w:val="center"/>
              <w:rPr>
                <w:kern w:val="0"/>
                <w:sz w:val="18"/>
                <w:szCs w:val="18"/>
              </w:rPr>
            </w:pPr>
            <w:r>
              <w:rPr>
                <w:rFonts w:hint="eastAsia"/>
                <w:kern w:val="0"/>
                <w:sz w:val="18"/>
                <w:szCs w:val="18"/>
              </w:rPr>
              <w:t>运城市果业发展中心</w:t>
            </w:r>
          </w:p>
        </w:tc>
        <w:tc>
          <w:tcPr>
            <w:tcW w:w="1276" w:type="dxa"/>
            <w:tcBorders>
              <w:top w:val="single" w:color="auto" w:sz="4" w:space="0"/>
              <w:left w:val="single" w:color="auto" w:sz="4" w:space="0"/>
              <w:bottom w:val="single" w:color="auto" w:sz="4" w:space="0"/>
              <w:right w:val="single" w:color="auto" w:sz="4" w:space="0"/>
            </w:tcBorders>
            <w:vAlign w:val="center"/>
          </w:tcPr>
          <w:p w14:paraId="26043A74">
            <w:pPr>
              <w:snapToGrid w:val="0"/>
              <w:spacing w:line="360" w:lineRule="auto"/>
              <w:jc w:val="center"/>
              <w:rPr>
                <w:kern w:val="0"/>
                <w:sz w:val="18"/>
                <w:szCs w:val="18"/>
              </w:rPr>
            </w:pPr>
            <w:r>
              <w:rPr>
                <w:kern w:val="0"/>
                <w:sz w:val="18"/>
                <w:szCs w:val="18"/>
              </w:rPr>
              <w:t>采纳</w:t>
            </w:r>
          </w:p>
        </w:tc>
        <w:tc>
          <w:tcPr>
            <w:tcW w:w="1227" w:type="dxa"/>
            <w:tcBorders>
              <w:top w:val="single" w:color="auto" w:sz="4" w:space="0"/>
              <w:left w:val="single" w:color="auto" w:sz="4" w:space="0"/>
              <w:bottom w:val="single" w:color="auto" w:sz="4" w:space="0"/>
              <w:right w:val="single" w:color="auto" w:sz="4" w:space="0"/>
            </w:tcBorders>
            <w:vAlign w:val="center"/>
          </w:tcPr>
          <w:p w14:paraId="79A8A428">
            <w:pPr>
              <w:snapToGrid w:val="0"/>
              <w:spacing w:line="360" w:lineRule="auto"/>
              <w:jc w:val="center"/>
              <w:rPr>
                <w:kern w:val="0"/>
                <w:sz w:val="18"/>
                <w:szCs w:val="18"/>
              </w:rPr>
            </w:pPr>
          </w:p>
        </w:tc>
      </w:tr>
      <w:tr w14:paraId="452D5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426" w:type="dxa"/>
            <w:tcBorders>
              <w:top w:val="single" w:color="auto" w:sz="4" w:space="0"/>
              <w:left w:val="single" w:color="auto" w:sz="4" w:space="0"/>
              <w:bottom w:val="single" w:color="auto" w:sz="4" w:space="0"/>
              <w:right w:val="single" w:color="auto" w:sz="4" w:space="0"/>
            </w:tcBorders>
            <w:vAlign w:val="center"/>
          </w:tcPr>
          <w:p w14:paraId="6FEB342A">
            <w:pPr>
              <w:snapToGrid w:val="0"/>
              <w:spacing w:line="360" w:lineRule="auto"/>
              <w:jc w:val="center"/>
              <w:rPr>
                <w:sz w:val="18"/>
                <w:szCs w:val="18"/>
              </w:rPr>
            </w:pPr>
            <w:r>
              <w:rPr>
                <w:sz w:val="18"/>
                <w:szCs w:val="18"/>
              </w:rPr>
              <w:t>2</w:t>
            </w:r>
          </w:p>
        </w:tc>
        <w:tc>
          <w:tcPr>
            <w:tcW w:w="850" w:type="dxa"/>
            <w:tcBorders>
              <w:top w:val="single" w:color="auto" w:sz="4" w:space="0"/>
              <w:left w:val="single" w:color="auto" w:sz="4" w:space="0"/>
              <w:bottom w:val="single" w:color="auto" w:sz="4" w:space="0"/>
              <w:right w:val="single" w:color="auto" w:sz="4" w:space="0"/>
            </w:tcBorders>
            <w:vAlign w:val="center"/>
          </w:tcPr>
          <w:p w14:paraId="297F43EF">
            <w:pPr>
              <w:snapToGrid w:val="0"/>
              <w:spacing w:line="360" w:lineRule="auto"/>
              <w:jc w:val="center"/>
              <w:rPr>
                <w:sz w:val="18"/>
                <w:szCs w:val="18"/>
              </w:rPr>
            </w:pPr>
            <w:r>
              <w:rPr>
                <w:sz w:val="18"/>
                <w:szCs w:val="18"/>
              </w:rPr>
              <w:t>3.1</w:t>
            </w:r>
          </w:p>
        </w:tc>
        <w:tc>
          <w:tcPr>
            <w:tcW w:w="6975" w:type="dxa"/>
            <w:tcBorders>
              <w:top w:val="single" w:color="auto" w:sz="4" w:space="0"/>
              <w:left w:val="single" w:color="auto" w:sz="4" w:space="0"/>
              <w:bottom w:val="single" w:color="auto" w:sz="4" w:space="0"/>
              <w:right w:val="single" w:color="auto" w:sz="4" w:space="0"/>
            </w:tcBorders>
            <w:vAlign w:val="center"/>
          </w:tcPr>
          <w:p w14:paraId="26624BF3">
            <w:pPr>
              <w:snapToGrid w:val="0"/>
              <w:spacing w:line="360" w:lineRule="auto"/>
              <w:jc w:val="center"/>
              <w:rPr>
                <w:rFonts w:hint="default"/>
                <w:sz w:val="18"/>
                <w:szCs w:val="18"/>
                <w:lang w:val="en-US" w:eastAsia="zh-CN"/>
              </w:rPr>
            </w:pPr>
            <w:r>
              <w:rPr>
                <w:rFonts w:hint="eastAsia"/>
                <w:sz w:val="18"/>
                <w:szCs w:val="18"/>
              </w:rPr>
              <w:t>修订苹果树腐烂病</w:t>
            </w:r>
            <w:r>
              <w:rPr>
                <w:rFonts w:hint="eastAsia"/>
                <w:sz w:val="18"/>
                <w:szCs w:val="18"/>
                <w:lang w:val="en-US" w:eastAsia="zh-CN"/>
              </w:rPr>
              <w:t>病原菌拉丁名</w:t>
            </w:r>
          </w:p>
        </w:tc>
        <w:tc>
          <w:tcPr>
            <w:tcW w:w="2976" w:type="dxa"/>
            <w:tcBorders>
              <w:top w:val="single" w:color="auto" w:sz="4" w:space="0"/>
              <w:left w:val="single" w:color="auto" w:sz="4" w:space="0"/>
              <w:bottom w:val="single" w:color="auto" w:sz="4" w:space="0"/>
              <w:right w:val="single" w:color="auto" w:sz="4" w:space="0"/>
            </w:tcBorders>
            <w:vAlign w:val="center"/>
          </w:tcPr>
          <w:p w14:paraId="76BD5A50">
            <w:pPr>
              <w:snapToGrid w:val="0"/>
              <w:spacing w:line="360" w:lineRule="auto"/>
              <w:jc w:val="center"/>
              <w:rPr>
                <w:sz w:val="18"/>
                <w:szCs w:val="18"/>
              </w:rPr>
            </w:pPr>
            <w:r>
              <w:rPr>
                <w:rFonts w:hint="eastAsia"/>
                <w:sz w:val="18"/>
                <w:szCs w:val="18"/>
              </w:rPr>
              <w:t>大宁县科教局</w:t>
            </w:r>
          </w:p>
        </w:tc>
        <w:tc>
          <w:tcPr>
            <w:tcW w:w="1276" w:type="dxa"/>
            <w:tcBorders>
              <w:top w:val="single" w:color="auto" w:sz="4" w:space="0"/>
              <w:left w:val="single" w:color="auto" w:sz="4" w:space="0"/>
              <w:bottom w:val="single" w:color="auto" w:sz="4" w:space="0"/>
              <w:right w:val="single" w:color="auto" w:sz="4" w:space="0"/>
            </w:tcBorders>
            <w:vAlign w:val="center"/>
          </w:tcPr>
          <w:p w14:paraId="5CED82B3">
            <w:pPr>
              <w:snapToGrid w:val="0"/>
              <w:spacing w:line="360" w:lineRule="auto"/>
              <w:jc w:val="center"/>
              <w:rPr>
                <w:kern w:val="0"/>
                <w:sz w:val="18"/>
                <w:szCs w:val="18"/>
              </w:rPr>
            </w:pPr>
            <w:r>
              <w:rPr>
                <w:kern w:val="0"/>
                <w:sz w:val="18"/>
                <w:szCs w:val="18"/>
              </w:rPr>
              <w:t>采纳</w:t>
            </w:r>
          </w:p>
        </w:tc>
        <w:tc>
          <w:tcPr>
            <w:tcW w:w="1227" w:type="dxa"/>
            <w:tcBorders>
              <w:top w:val="single" w:color="auto" w:sz="4" w:space="0"/>
              <w:left w:val="single" w:color="auto" w:sz="4" w:space="0"/>
              <w:bottom w:val="single" w:color="auto" w:sz="4" w:space="0"/>
              <w:right w:val="single" w:color="auto" w:sz="4" w:space="0"/>
            </w:tcBorders>
            <w:vAlign w:val="center"/>
          </w:tcPr>
          <w:p w14:paraId="122EC472">
            <w:pPr>
              <w:snapToGrid w:val="0"/>
              <w:spacing w:line="360" w:lineRule="auto"/>
              <w:jc w:val="center"/>
              <w:rPr>
                <w:kern w:val="0"/>
                <w:sz w:val="18"/>
                <w:szCs w:val="18"/>
              </w:rPr>
            </w:pPr>
          </w:p>
        </w:tc>
      </w:tr>
      <w:tr w14:paraId="6C43F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tcBorders>
              <w:top w:val="single" w:color="auto" w:sz="4" w:space="0"/>
              <w:left w:val="single" w:color="auto" w:sz="4" w:space="0"/>
              <w:bottom w:val="single" w:color="auto" w:sz="4" w:space="0"/>
              <w:right w:val="single" w:color="auto" w:sz="4" w:space="0"/>
            </w:tcBorders>
            <w:vAlign w:val="center"/>
          </w:tcPr>
          <w:p w14:paraId="1A9FBF29">
            <w:pPr>
              <w:snapToGrid w:val="0"/>
              <w:spacing w:line="360" w:lineRule="auto"/>
              <w:jc w:val="center"/>
              <w:rPr>
                <w:sz w:val="18"/>
                <w:szCs w:val="18"/>
              </w:rPr>
            </w:pPr>
            <w:r>
              <w:rPr>
                <w:sz w:val="18"/>
                <w:szCs w:val="18"/>
              </w:rPr>
              <w:t>3</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6F9F37D6">
            <w:pPr>
              <w:snapToGrid w:val="0"/>
              <w:spacing w:line="360" w:lineRule="auto"/>
              <w:jc w:val="center"/>
              <w:rPr>
                <w:rFonts w:hint="default" w:ascii="Times New Roman" w:hAnsi="Times New Roman" w:eastAsia="宋体" w:cs="Times New Roman"/>
                <w:kern w:val="2"/>
                <w:sz w:val="18"/>
                <w:szCs w:val="18"/>
                <w:lang w:val="en-US" w:eastAsia="zh-CN" w:bidi="ar-SA"/>
              </w:rPr>
            </w:pPr>
            <w:r>
              <w:rPr>
                <w:rFonts w:hint="eastAsia"/>
                <w:sz w:val="18"/>
                <w:szCs w:val="18"/>
                <w:lang w:val="en-US" w:eastAsia="zh-CN"/>
              </w:rPr>
              <w:t>6.1.2</w:t>
            </w:r>
          </w:p>
        </w:tc>
        <w:tc>
          <w:tcPr>
            <w:tcW w:w="6975" w:type="dxa"/>
            <w:tcBorders>
              <w:top w:val="single" w:color="auto" w:sz="4" w:space="0"/>
              <w:left w:val="single" w:color="auto" w:sz="4" w:space="0"/>
              <w:bottom w:val="single" w:color="auto" w:sz="4" w:space="0"/>
              <w:right w:val="single" w:color="auto" w:sz="4" w:space="0"/>
            </w:tcBorders>
            <w:shd w:val="clear" w:color="auto" w:fill="auto"/>
            <w:vAlign w:val="center"/>
          </w:tcPr>
          <w:p w14:paraId="613F84E6">
            <w:pPr>
              <w:snapToGrid w:val="0"/>
              <w:spacing w:line="360" w:lineRule="auto"/>
              <w:jc w:val="center"/>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增加其他病虫害对腐烂病的影响</w:t>
            </w:r>
          </w:p>
        </w:tc>
        <w:tc>
          <w:tcPr>
            <w:tcW w:w="2976" w:type="dxa"/>
            <w:tcBorders>
              <w:top w:val="single" w:color="auto" w:sz="4" w:space="0"/>
              <w:left w:val="single" w:color="auto" w:sz="4" w:space="0"/>
              <w:bottom w:val="single" w:color="auto" w:sz="4" w:space="0"/>
              <w:right w:val="single" w:color="auto" w:sz="4" w:space="0"/>
            </w:tcBorders>
            <w:shd w:val="clear" w:color="auto" w:fill="auto"/>
            <w:vAlign w:val="center"/>
          </w:tcPr>
          <w:p w14:paraId="7FB4664B">
            <w:pPr>
              <w:snapToGrid w:val="0"/>
              <w:spacing w:line="360" w:lineRule="auto"/>
              <w:jc w:val="center"/>
              <w:rPr>
                <w:rFonts w:ascii="Times New Roman" w:hAnsi="Times New Roman" w:eastAsia="宋体" w:cs="Times New Roman"/>
                <w:kern w:val="2"/>
                <w:sz w:val="18"/>
                <w:szCs w:val="18"/>
                <w:lang w:val="en-US" w:eastAsia="zh-CN" w:bidi="ar-SA"/>
              </w:rPr>
            </w:pPr>
            <w:r>
              <w:rPr>
                <w:rFonts w:hint="eastAsia"/>
                <w:sz w:val="18"/>
                <w:szCs w:val="18"/>
              </w:rPr>
              <w:t>蒲县</w:t>
            </w:r>
            <w:r>
              <w:rPr>
                <w:rFonts w:hint="eastAsia"/>
                <w:sz w:val="18"/>
                <w:szCs w:val="18"/>
                <w:lang w:val="en-US" w:eastAsia="zh-CN"/>
              </w:rPr>
              <w:t>农业</w:t>
            </w:r>
            <w:r>
              <w:rPr>
                <w:sz w:val="18"/>
                <w:szCs w:val="18"/>
              </w:rPr>
              <w:t>发展中心</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43ADC38C">
            <w:pPr>
              <w:snapToGrid w:val="0"/>
              <w:spacing w:line="360" w:lineRule="auto"/>
              <w:jc w:val="center"/>
              <w:rPr>
                <w:rFonts w:ascii="Times New Roman" w:hAnsi="Times New Roman" w:eastAsia="宋体" w:cs="Times New Roman"/>
                <w:kern w:val="0"/>
                <w:sz w:val="18"/>
                <w:szCs w:val="18"/>
                <w:lang w:val="en-US" w:eastAsia="zh-CN" w:bidi="ar-SA"/>
              </w:rPr>
            </w:pPr>
            <w:r>
              <w:rPr>
                <w:kern w:val="0"/>
                <w:sz w:val="18"/>
                <w:szCs w:val="18"/>
              </w:rPr>
              <w:t>采纳</w:t>
            </w:r>
          </w:p>
        </w:tc>
        <w:tc>
          <w:tcPr>
            <w:tcW w:w="1227" w:type="dxa"/>
            <w:tcBorders>
              <w:top w:val="single" w:color="auto" w:sz="4" w:space="0"/>
              <w:left w:val="single" w:color="auto" w:sz="4" w:space="0"/>
              <w:bottom w:val="single" w:color="auto" w:sz="4" w:space="0"/>
              <w:right w:val="single" w:color="auto" w:sz="4" w:space="0"/>
            </w:tcBorders>
            <w:vAlign w:val="center"/>
          </w:tcPr>
          <w:p w14:paraId="1EFF1021">
            <w:pPr>
              <w:snapToGrid w:val="0"/>
              <w:spacing w:line="360" w:lineRule="auto"/>
              <w:jc w:val="center"/>
              <w:rPr>
                <w:kern w:val="0"/>
                <w:sz w:val="18"/>
                <w:szCs w:val="18"/>
              </w:rPr>
            </w:pPr>
          </w:p>
        </w:tc>
      </w:tr>
      <w:tr w14:paraId="0FD9F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426" w:type="dxa"/>
            <w:tcBorders>
              <w:top w:val="single" w:color="auto" w:sz="4" w:space="0"/>
              <w:left w:val="single" w:color="auto" w:sz="4" w:space="0"/>
              <w:bottom w:val="single" w:color="auto" w:sz="4" w:space="0"/>
              <w:right w:val="single" w:color="auto" w:sz="4" w:space="0"/>
            </w:tcBorders>
            <w:shd w:val="clear" w:color="auto" w:fill="auto"/>
            <w:vAlign w:val="center"/>
          </w:tcPr>
          <w:p w14:paraId="48CD7BD1">
            <w:pPr>
              <w:snapToGrid w:val="0"/>
              <w:spacing w:line="360" w:lineRule="auto"/>
              <w:jc w:val="center"/>
              <w:rPr>
                <w:rFonts w:ascii="Times New Roman" w:hAnsi="Times New Roman" w:eastAsia="宋体" w:cs="Times New Roman"/>
                <w:kern w:val="2"/>
                <w:sz w:val="18"/>
                <w:szCs w:val="18"/>
                <w:lang w:val="en-US" w:eastAsia="zh-CN" w:bidi="ar-SA"/>
              </w:rPr>
            </w:pPr>
            <w:r>
              <w:rPr>
                <w:sz w:val="18"/>
                <w:szCs w:val="18"/>
              </w:rPr>
              <w:t>4</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18C5E371">
            <w:pPr>
              <w:snapToGrid w:val="0"/>
              <w:spacing w:line="360" w:lineRule="auto"/>
              <w:jc w:val="center"/>
              <w:rPr>
                <w:rFonts w:hint="default"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6.2</w:t>
            </w:r>
          </w:p>
        </w:tc>
        <w:tc>
          <w:tcPr>
            <w:tcW w:w="6975" w:type="dxa"/>
            <w:tcBorders>
              <w:top w:val="single" w:color="auto" w:sz="4" w:space="0"/>
              <w:left w:val="single" w:color="auto" w:sz="4" w:space="0"/>
              <w:bottom w:val="single" w:color="auto" w:sz="4" w:space="0"/>
              <w:right w:val="single" w:color="auto" w:sz="4" w:space="0"/>
            </w:tcBorders>
            <w:shd w:val="clear" w:color="auto" w:fill="auto"/>
            <w:vAlign w:val="center"/>
          </w:tcPr>
          <w:p w14:paraId="5BC4FC5B">
            <w:pPr>
              <w:snapToGrid w:val="0"/>
              <w:spacing w:line="360" w:lineRule="auto"/>
              <w:jc w:val="center"/>
              <w:rPr>
                <w:rFonts w:hint="default"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保护剂建议归纳入剪锯口保护中</w:t>
            </w:r>
          </w:p>
        </w:tc>
        <w:tc>
          <w:tcPr>
            <w:tcW w:w="2976" w:type="dxa"/>
            <w:tcBorders>
              <w:top w:val="single" w:color="auto" w:sz="4" w:space="0"/>
              <w:left w:val="single" w:color="auto" w:sz="4" w:space="0"/>
              <w:bottom w:val="single" w:color="auto" w:sz="4" w:space="0"/>
              <w:right w:val="single" w:color="auto" w:sz="4" w:space="0"/>
            </w:tcBorders>
            <w:shd w:val="clear" w:color="auto" w:fill="auto"/>
            <w:vAlign w:val="center"/>
          </w:tcPr>
          <w:p w14:paraId="0E4BEFA7">
            <w:pPr>
              <w:snapToGrid w:val="0"/>
              <w:spacing w:line="360" w:lineRule="auto"/>
              <w:jc w:val="center"/>
              <w:rPr>
                <w:rFonts w:hint="eastAsia" w:ascii="Times New Roman" w:hAnsi="Times New Roman" w:eastAsia="宋体" w:cs="Times New Roman"/>
                <w:kern w:val="2"/>
                <w:sz w:val="18"/>
                <w:szCs w:val="18"/>
                <w:lang w:val="en-US" w:eastAsia="zh-CN" w:bidi="ar-SA"/>
              </w:rPr>
            </w:pPr>
            <w:r>
              <w:rPr>
                <w:rFonts w:hint="eastAsia"/>
                <w:kern w:val="0"/>
                <w:sz w:val="18"/>
                <w:szCs w:val="18"/>
              </w:rPr>
              <w:t>运城市果业发展中心</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7608A024">
            <w:pPr>
              <w:snapToGrid w:val="0"/>
              <w:spacing w:line="360" w:lineRule="auto"/>
              <w:jc w:val="center"/>
              <w:rPr>
                <w:rFonts w:ascii="Times New Roman" w:hAnsi="Times New Roman" w:eastAsia="宋体" w:cs="Times New Roman"/>
                <w:kern w:val="0"/>
                <w:sz w:val="18"/>
                <w:szCs w:val="18"/>
                <w:lang w:val="en-US" w:eastAsia="zh-CN" w:bidi="ar-SA"/>
              </w:rPr>
            </w:pPr>
            <w:r>
              <w:rPr>
                <w:kern w:val="0"/>
                <w:sz w:val="18"/>
                <w:szCs w:val="18"/>
              </w:rPr>
              <w:t>采纳</w:t>
            </w:r>
          </w:p>
        </w:tc>
        <w:tc>
          <w:tcPr>
            <w:tcW w:w="1227" w:type="dxa"/>
            <w:tcBorders>
              <w:top w:val="single" w:color="auto" w:sz="4" w:space="0"/>
              <w:left w:val="single" w:color="auto" w:sz="4" w:space="0"/>
              <w:bottom w:val="single" w:color="auto" w:sz="4" w:space="0"/>
              <w:right w:val="single" w:color="auto" w:sz="4" w:space="0"/>
            </w:tcBorders>
            <w:vAlign w:val="center"/>
          </w:tcPr>
          <w:p w14:paraId="033F4A27">
            <w:pPr>
              <w:snapToGrid w:val="0"/>
              <w:spacing w:line="360" w:lineRule="auto"/>
              <w:jc w:val="center"/>
              <w:rPr>
                <w:kern w:val="0"/>
                <w:sz w:val="18"/>
                <w:szCs w:val="18"/>
              </w:rPr>
            </w:pPr>
          </w:p>
        </w:tc>
      </w:tr>
      <w:tr w14:paraId="0802D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426" w:type="dxa"/>
            <w:tcBorders>
              <w:top w:val="single" w:color="auto" w:sz="4" w:space="0"/>
              <w:left w:val="single" w:color="auto" w:sz="4" w:space="0"/>
              <w:bottom w:val="single" w:color="auto" w:sz="4" w:space="0"/>
              <w:right w:val="single" w:color="auto" w:sz="4" w:space="0"/>
            </w:tcBorders>
            <w:shd w:val="clear" w:color="auto" w:fill="auto"/>
            <w:vAlign w:val="center"/>
          </w:tcPr>
          <w:p w14:paraId="387F47D7">
            <w:pPr>
              <w:snapToGrid w:val="0"/>
              <w:spacing w:line="360" w:lineRule="auto"/>
              <w:jc w:val="center"/>
              <w:rPr>
                <w:rFonts w:ascii="Times New Roman" w:hAnsi="Times New Roman" w:eastAsia="宋体" w:cs="Times New Roman"/>
                <w:kern w:val="2"/>
                <w:sz w:val="18"/>
                <w:szCs w:val="18"/>
                <w:lang w:val="en-US" w:eastAsia="zh-CN" w:bidi="ar-SA"/>
              </w:rPr>
            </w:pPr>
            <w:r>
              <w:rPr>
                <w:sz w:val="18"/>
                <w:szCs w:val="18"/>
              </w:rPr>
              <w:t>5</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75A0B194">
            <w:pPr>
              <w:snapToGrid w:val="0"/>
              <w:spacing w:line="360" w:lineRule="auto"/>
              <w:jc w:val="center"/>
              <w:rPr>
                <w:rFonts w:hint="default" w:ascii="Times New Roman" w:hAnsi="Times New Roman" w:eastAsia="宋体" w:cs="Times New Roman"/>
                <w:kern w:val="2"/>
                <w:sz w:val="18"/>
                <w:szCs w:val="18"/>
                <w:lang w:val="en-US" w:eastAsia="zh-CN" w:bidi="ar-SA"/>
              </w:rPr>
            </w:pPr>
            <w:r>
              <w:rPr>
                <w:sz w:val="18"/>
                <w:szCs w:val="18"/>
              </w:rPr>
              <w:t>6.</w:t>
            </w:r>
            <w:r>
              <w:rPr>
                <w:rFonts w:hint="eastAsia"/>
                <w:sz w:val="18"/>
                <w:szCs w:val="18"/>
                <w:lang w:val="en-US" w:eastAsia="zh-CN"/>
              </w:rPr>
              <w:t>2</w:t>
            </w:r>
            <w:r>
              <w:rPr>
                <w:sz w:val="18"/>
                <w:szCs w:val="18"/>
              </w:rPr>
              <w:t>.</w:t>
            </w:r>
            <w:r>
              <w:rPr>
                <w:rFonts w:hint="eastAsia"/>
                <w:sz w:val="18"/>
                <w:szCs w:val="18"/>
                <w:lang w:val="en-US" w:eastAsia="zh-CN"/>
              </w:rPr>
              <w:t>2</w:t>
            </w:r>
          </w:p>
        </w:tc>
        <w:tc>
          <w:tcPr>
            <w:tcW w:w="6975" w:type="dxa"/>
            <w:tcBorders>
              <w:top w:val="single" w:color="auto" w:sz="4" w:space="0"/>
              <w:left w:val="single" w:color="auto" w:sz="4" w:space="0"/>
              <w:bottom w:val="single" w:color="auto" w:sz="4" w:space="0"/>
              <w:right w:val="single" w:color="auto" w:sz="4" w:space="0"/>
            </w:tcBorders>
            <w:shd w:val="clear" w:color="auto" w:fill="auto"/>
            <w:vAlign w:val="center"/>
          </w:tcPr>
          <w:p w14:paraId="0CC94B72">
            <w:pPr>
              <w:snapToGrid w:val="0"/>
              <w:spacing w:line="360" w:lineRule="auto"/>
              <w:jc w:val="center"/>
              <w:rPr>
                <w:rFonts w:hint="eastAsia" w:ascii="Times New Roman" w:hAnsi="Times New Roman" w:eastAsia="宋体" w:cs="Times New Roman"/>
                <w:kern w:val="2"/>
                <w:sz w:val="18"/>
                <w:szCs w:val="18"/>
                <w:lang w:val="en-US" w:eastAsia="zh-CN" w:bidi="ar-SA"/>
              </w:rPr>
            </w:pPr>
            <w:r>
              <w:rPr>
                <w:rFonts w:hint="eastAsia"/>
                <w:sz w:val="18"/>
                <w:szCs w:val="18"/>
              </w:rPr>
              <w:t>建议增加清园药</w:t>
            </w:r>
            <w:r>
              <w:rPr>
                <w:rFonts w:hint="eastAsia"/>
                <w:sz w:val="18"/>
                <w:szCs w:val="18"/>
                <w:lang w:val="en-US" w:eastAsia="zh-CN"/>
              </w:rPr>
              <w:t>剂</w:t>
            </w:r>
            <w:r>
              <w:rPr>
                <w:rFonts w:hint="eastAsia"/>
                <w:sz w:val="18"/>
                <w:szCs w:val="18"/>
              </w:rPr>
              <w:t>的种类</w:t>
            </w:r>
          </w:p>
        </w:tc>
        <w:tc>
          <w:tcPr>
            <w:tcW w:w="2976" w:type="dxa"/>
            <w:tcBorders>
              <w:top w:val="single" w:color="auto" w:sz="4" w:space="0"/>
              <w:left w:val="single" w:color="auto" w:sz="4" w:space="0"/>
              <w:bottom w:val="single" w:color="auto" w:sz="4" w:space="0"/>
              <w:right w:val="single" w:color="auto" w:sz="4" w:space="0"/>
            </w:tcBorders>
            <w:shd w:val="clear" w:color="auto" w:fill="auto"/>
            <w:vAlign w:val="center"/>
          </w:tcPr>
          <w:p w14:paraId="6CCF6A53">
            <w:pPr>
              <w:snapToGrid w:val="0"/>
              <w:spacing w:line="360" w:lineRule="auto"/>
              <w:jc w:val="center"/>
              <w:rPr>
                <w:rFonts w:hint="eastAsia" w:ascii="Times New Roman" w:hAnsi="Times New Roman" w:eastAsia="宋体" w:cs="Times New Roman"/>
                <w:kern w:val="2"/>
                <w:sz w:val="18"/>
                <w:szCs w:val="18"/>
                <w:lang w:val="en-US" w:eastAsia="zh-CN" w:bidi="ar-SA"/>
              </w:rPr>
            </w:pPr>
            <w:r>
              <w:rPr>
                <w:rFonts w:hint="eastAsia"/>
                <w:sz w:val="18"/>
                <w:szCs w:val="18"/>
              </w:rPr>
              <w:t>大宁县科教局</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7B4B5DFC">
            <w:pPr>
              <w:snapToGrid w:val="0"/>
              <w:spacing w:line="360" w:lineRule="auto"/>
              <w:jc w:val="center"/>
              <w:rPr>
                <w:rFonts w:ascii="Times New Roman" w:hAnsi="Times New Roman" w:eastAsia="宋体" w:cs="Times New Roman"/>
                <w:kern w:val="0"/>
                <w:sz w:val="18"/>
                <w:szCs w:val="18"/>
                <w:lang w:val="en-US" w:eastAsia="zh-CN" w:bidi="ar-SA"/>
              </w:rPr>
            </w:pPr>
            <w:r>
              <w:rPr>
                <w:kern w:val="0"/>
                <w:sz w:val="18"/>
                <w:szCs w:val="18"/>
              </w:rPr>
              <w:t>采纳</w:t>
            </w:r>
          </w:p>
        </w:tc>
        <w:tc>
          <w:tcPr>
            <w:tcW w:w="1227" w:type="dxa"/>
            <w:tcBorders>
              <w:top w:val="single" w:color="auto" w:sz="4" w:space="0"/>
              <w:left w:val="single" w:color="auto" w:sz="4" w:space="0"/>
              <w:bottom w:val="single" w:color="auto" w:sz="4" w:space="0"/>
              <w:right w:val="single" w:color="auto" w:sz="4" w:space="0"/>
            </w:tcBorders>
            <w:vAlign w:val="center"/>
          </w:tcPr>
          <w:p w14:paraId="34D08EB5">
            <w:pPr>
              <w:snapToGrid w:val="0"/>
              <w:spacing w:line="360" w:lineRule="auto"/>
              <w:jc w:val="center"/>
              <w:rPr>
                <w:kern w:val="0"/>
                <w:sz w:val="18"/>
                <w:szCs w:val="18"/>
              </w:rPr>
            </w:pPr>
          </w:p>
        </w:tc>
      </w:tr>
      <w:tr w14:paraId="44E60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426" w:type="dxa"/>
            <w:tcBorders>
              <w:top w:val="single" w:color="auto" w:sz="4" w:space="0"/>
              <w:left w:val="single" w:color="auto" w:sz="4" w:space="0"/>
              <w:bottom w:val="single" w:color="auto" w:sz="4" w:space="0"/>
              <w:right w:val="single" w:color="auto" w:sz="4" w:space="0"/>
            </w:tcBorders>
            <w:shd w:val="clear" w:color="auto" w:fill="auto"/>
            <w:vAlign w:val="center"/>
          </w:tcPr>
          <w:p w14:paraId="09339C73">
            <w:pPr>
              <w:snapToGrid w:val="0"/>
              <w:spacing w:line="360" w:lineRule="auto"/>
              <w:jc w:val="center"/>
              <w:rPr>
                <w:rFonts w:ascii="Times New Roman" w:hAnsi="Times New Roman" w:eastAsia="宋体" w:cs="Times New Roman"/>
                <w:kern w:val="2"/>
                <w:sz w:val="18"/>
                <w:szCs w:val="18"/>
                <w:lang w:val="en-US" w:eastAsia="zh-CN" w:bidi="ar-SA"/>
              </w:rPr>
            </w:pPr>
            <w:r>
              <w:rPr>
                <w:sz w:val="18"/>
                <w:szCs w:val="18"/>
              </w:rPr>
              <w:t>6</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7B27284F">
            <w:pPr>
              <w:snapToGrid w:val="0"/>
              <w:spacing w:line="360" w:lineRule="auto"/>
              <w:jc w:val="center"/>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6.2.3</w:t>
            </w:r>
          </w:p>
        </w:tc>
        <w:tc>
          <w:tcPr>
            <w:tcW w:w="6975" w:type="dxa"/>
            <w:tcBorders>
              <w:top w:val="single" w:color="auto" w:sz="4" w:space="0"/>
              <w:left w:val="single" w:color="auto" w:sz="4" w:space="0"/>
              <w:bottom w:val="single" w:color="auto" w:sz="4" w:space="0"/>
              <w:right w:val="single" w:color="auto" w:sz="4" w:space="0"/>
            </w:tcBorders>
            <w:shd w:val="clear" w:color="auto" w:fill="auto"/>
            <w:vAlign w:val="center"/>
          </w:tcPr>
          <w:p w14:paraId="6497D132">
            <w:pPr>
              <w:snapToGrid w:val="0"/>
              <w:spacing w:line="360" w:lineRule="auto"/>
              <w:jc w:val="center"/>
              <w:rPr>
                <w:rFonts w:hint="eastAsia" w:ascii="Times New Roman" w:hAnsi="Times New Roman" w:eastAsia="宋体" w:cs="Times New Roman"/>
                <w:kern w:val="2"/>
                <w:sz w:val="18"/>
                <w:szCs w:val="18"/>
                <w:lang w:val="en-US" w:eastAsia="zh-CN" w:bidi="ar-SA"/>
              </w:rPr>
            </w:pPr>
            <w:r>
              <w:rPr>
                <w:rFonts w:hint="eastAsia"/>
                <w:sz w:val="18"/>
                <w:szCs w:val="18"/>
              </w:rPr>
              <w:t>查证现有推荐防治</w:t>
            </w:r>
            <w:r>
              <w:rPr>
                <w:rFonts w:hint="eastAsia"/>
                <w:sz w:val="18"/>
                <w:szCs w:val="18"/>
                <w:lang w:val="en-US" w:eastAsia="zh-CN"/>
              </w:rPr>
              <w:t>苹果树腐烂病</w:t>
            </w:r>
            <w:r>
              <w:rPr>
                <w:rFonts w:hint="eastAsia"/>
                <w:sz w:val="18"/>
                <w:szCs w:val="18"/>
              </w:rPr>
              <w:t>的药剂种类并进行补正</w:t>
            </w:r>
          </w:p>
        </w:tc>
        <w:tc>
          <w:tcPr>
            <w:tcW w:w="2976" w:type="dxa"/>
            <w:tcBorders>
              <w:top w:val="single" w:color="auto" w:sz="4" w:space="0"/>
              <w:left w:val="single" w:color="auto" w:sz="4" w:space="0"/>
              <w:bottom w:val="single" w:color="auto" w:sz="4" w:space="0"/>
              <w:right w:val="single" w:color="auto" w:sz="4" w:space="0"/>
            </w:tcBorders>
            <w:shd w:val="clear" w:color="auto" w:fill="auto"/>
            <w:vAlign w:val="center"/>
          </w:tcPr>
          <w:p w14:paraId="3147467C">
            <w:pPr>
              <w:snapToGrid w:val="0"/>
              <w:spacing w:line="360" w:lineRule="auto"/>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运城市果业发展中心</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2E9F1C10">
            <w:pPr>
              <w:snapToGrid w:val="0"/>
              <w:spacing w:line="360" w:lineRule="auto"/>
              <w:jc w:val="center"/>
              <w:rPr>
                <w:rFonts w:ascii="Times New Roman" w:hAnsi="Times New Roman" w:eastAsia="宋体" w:cs="Times New Roman"/>
                <w:kern w:val="0"/>
                <w:sz w:val="18"/>
                <w:szCs w:val="18"/>
                <w:lang w:val="en-US" w:eastAsia="zh-CN" w:bidi="ar-SA"/>
              </w:rPr>
            </w:pPr>
            <w:r>
              <w:rPr>
                <w:kern w:val="0"/>
                <w:sz w:val="18"/>
                <w:szCs w:val="18"/>
              </w:rPr>
              <w:t>采纳</w:t>
            </w:r>
          </w:p>
        </w:tc>
        <w:tc>
          <w:tcPr>
            <w:tcW w:w="1227" w:type="dxa"/>
            <w:tcBorders>
              <w:top w:val="single" w:color="auto" w:sz="4" w:space="0"/>
              <w:left w:val="single" w:color="auto" w:sz="4" w:space="0"/>
              <w:bottom w:val="single" w:color="auto" w:sz="4" w:space="0"/>
              <w:right w:val="single" w:color="auto" w:sz="4" w:space="0"/>
            </w:tcBorders>
            <w:vAlign w:val="center"/>
          </w:tcPr>
          <w:p w14:paraId="02839A6B">
            <w:pPr>
              <w:snapToGrid w:val="0"/>
              <w:spacing w:line="360" w:lineRule="auto"/>
              <w:jc w:val="center"/>
              <w:rPr>
                <w:kern w:val="0"/>
                <w:sz w:val="18"/>
                <w:szCs w:val="18"/>
              </w:rPr>
            </w:pPr>
          </w:p>
        </w:tc>
      </w:tr>
      <w:tr w14:paraId="0D355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tcBorders>
              <w:top w:val="single" w:color="auto" w:sz="4" w:space="0"/>
              <w:left w:val="single" w:color="auto" w:sz="4" w:space="0"/>
              <w:bottom w:val="single" w:color="auto" w:sz="4" w:space="0"/>
              <w:right w:val="single" w:color="auto" w:sz="4" w:space="0"/>
            </w:tcBorders>
            <w:shd w:val="clear" w:color="auto" w:fill="auto"/>
            <w:vAlign w:val="center"/>
          </w:tcPr>
          <w:p w14:paraId="0C1974D6">
            <w:pPr>
              <w:snapToGrid w:val="0"/>
              <w:spacing w:line="360" w:lineRule="auto"/>
              <w:jc w:val="center"/>
              <w:rPr>
                <w:rFonts w:ascii="Times New Roman" w:hAnsi="Times New Roman" w:eastAsia="宋体" w:cs="Times New Roman"/>
                <w:kern w:val="2"/>
                <w:sz w:val="18"/>
                <w:szCs w:val="18"/>
                <w:lang w:val="en-US" w:eastAsia="zh-CN" w:bidi="ar-SA"/>
              </w:rPr>
            </w:pPr>
            <w:r>
              <w:rPr>
                <w:sz w:val="18"/>
                <w:szCs w:val="18"/>
              </w:rPr>
              <w:t>7</w:t>
            </w:r>
          </w:p>
        </w:tc>
        <w:tc>
          <w:tcPr>
            <w:tcW w:w="850" w:type="dxa"/>
            <w:tcBorders>
              <w:top w:val="single" w:color="auto" w:sz="4" w:space="0"/>
              <w:left w:val="single" w:color="auto" w:sz="4" w:space="0"/>
              <w:bottom w:val="single" w:color="auto" w:sz="4" w:space="0"/>
              <w:right w:val="single" w:color="auto" w:sz="4" w:space="0"/>
            </w:tcBorders>
            <w:vAlign w:val="center"/>
          </w:tcPr>
          <w:p w14:paraId="43915D62">
            <w:pPr>
              <w:snapToGrid w:val="0"/>
              <w:spacing w:line="360" w:lineRule="auto"/>
              <w:jc w:val="center"/>
              <w:rPr>
                <w:rFonts w:hint="default"/>
                <w:sz w:val="18"/>
                <w:szCs w:val="18"/>
                <w:lang w:val="en-US" w:eastAsia="zh-CN"/>
              </w:rPr>
            </w:pPr>
            <w:r>
              <w:rPr>
                <w:rFonts w:hint="eastAsia"/>
                <w:sz w:val="18"/>
                <w:szCs w:val="18"/>
                <w:lang w:val="en-US" w:eastAsia="zh-CN"/>
              </w:rPr>
              <w:t>6.2.3</w:t>
            </w:r>
          </w:p>
        </w:tc>
        <w:tc>
          <w:tcPr>
            <w:tcW w:w="6975" w:type="dxa"/>
            <w:tcBorders>
              <w:top w:val="single" w:color="auto" w:sz="4" w:space="0"/>
              <w:left w:val="single" w:color="auto" w:sz="4" w:space="0"/>
              <w:bottom w:val="single" w:color="auto" w:sz="4" w:space="0"/>
              <w:right w:val="single" w:color="auto" w:sz="4" w:space="0"/>
            </w:tcBorders>
            <w:vAlign w:val="center"/>
          </w:tcPr>
          <w:p w14:paraId="6B21E7EC">
            <w:pPr>
              <w:snapToGrid w:val="0"/>
              <w:spacing w:line="360" w:lineRule="auto"/>
              <w:jc w:val="center"/>
              <w:rPr>
                <w:rFonts w:hint="default"/>
                <w:sz w:val="18"/>
                <w:szCs w:val="18"/>
                <w:lang w:val="en-US" w:eastAsia="zh-CN"/>
              </w:rPr>
            </w:pPr>
            <w:r>
              <w:rPr>
                <w:rFonts w:hint="eastAsia"/>
                <w:sz w:val="18"/>
                <w:szCs w:val="18"/>
                <w:lang w:val="en-US" w:eastAsia="zh-CN"/>
              </w:rPr>
              <w:t>增加常用杀菌剂种类</w:t>
            </w:r>
          </w:p>
        </w:tc>
        <w:tc>
          <w:tcPr>
            <w:tcW w:w="2976" w:type="dxa"/>
            <w:tcBorders>
              <w:top w:val="single" w:color="auto" w:sz="4" w:space="0"/>
              <w:left w:val="single" w:color="auto" w:sz="4" w:space="0"/>
              <w:bottom w:val="single" w:color="auto" w:sz="4" w:space="0"/>
              <w:right w:val="single" w:color="auto" w:sz="4" w:space="0"/>
            </w:tcBorders>
            <w:vAlign w:val="center"/>
          </w:tcPr>
          <w:p w14:paraId="588F917C">
            <w:pPr>
              <w:snapToGrid w:val="0"/>
              <w:spacing w:line="360" w:lineRule="auto"/>
              <w:jc w:val="center"/>
              <w:rPr>
                <w:rFonts w:hint="eastAsia"/>
                <w:sz w:val="18"/>
                <w:szCs w:val="18"/>
              </w:rPr>
            </w:pPr>
            <w:r>
              <w:rPr>
                <w:rFonts w:hint="eastAsia"/>
                <w:sz w:val="18"/>
                <w:szCs w:val="18"/>
              </w:rPr>
              <w:t>蒲县</w:t>
            </w:r>
            <w:r>
              <w:rPr>
                <w:rFonts w:hint="eastAsia"/>
                <w:sz w:val="18"/>
                <w:szCs w:val="18"/>
                <w:lang w:val="en-US" w:eastAsia="zh-CN"/>
              </w:rPr>
              <w:t>农业</w:t>
            </w:r>
            <w:r>
              <w:rPr>
                <w:sz w:val="18"/>
                <w:szCs w:val="18"/>
              </w:rPr>
              <w:t>发展中心</w:t>
            </w:r>
          </w:p>
        </w:tc>
        <w:tc>
          <w:tcPr>
            <w:tcW w:w="1276" w:type="dxa"/>
            <w:tcBorders>
              <w:top w:val="single" w:color="auto" w:sz="4" w:space="0"/>
              <w:left w:val="single" w:color="auto" w:sz="4" w:space="0"/>
              <w:bottom w:val="single" w:color="auto" w:sz="4" w:space="0"/>
              <w:right w:val="single" w:color="auto" w:sz="4" w:space="0"/>
            </w:tcBorders>
            <w:vAlign w:val="center"/>
          </w:tcPr>
          <w:p w14:paraId="191F1253">
            <w:pPr>
              <w:snapToGrid w:val="0"/>
              <w:spacing w:line="360" w:lineRule="auto"/>
              <w:jc w:val="center"/>
              <w:rPr>
                <w:kern w:val="0"/>
                <w:sz w:val="18"/>
                <w:szCs w:val="18"/>
              </w:rPr>
            </w:pPr>
            <w:r>
              <w:rPr>
                <w:kern w:val="0"/>
                <w:sz w:val="18"/>
                <w:szCs w:val="18"/>
              </w:rPr>
              <w:t>采纳</w:t>
            </w:r>
          </w:p>
        </w:tc>
        <w:tc>
          <w:tcPr>
            <w:tcW w:w="1227" w:type="dxa"/>
            <w:tcBorders>
              <w:top w:val="single" w:color="auto" w:sz="4" w:space="0"/>
              <w:left w:val="single" w:color="auto" w:sz="4" w:space="0"/>
              <w:bottom w:val="single" w:color="auto" w:sz="4" w:space="0"/>
              <w:right w:val="single" w:color="auto" w:sz="4" w:space="0"/>
            </w:tcBorders>
            <w:vAlign w:val="center"/>
          </w:tcPr>
          <w:p w14:paraId="3DD8FCEC">
            <w:pPr>
              <w:snapToGrid w:val="0"/>
              <w:spacing w:line="360" w:lineRule="auto"/>
              <w:jc w:val="center"/>
              <w:rPr>
                <w:kern w:val="0"/>
                <w:sz w:val="18"/>
                <w:szCs w:val="18"/>
              </w:rPr>
            </w:pPr>
          </w:p>
        </w:tc>
      </w:tr>
      <w:tr w14:paraId="26718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tcBorders>
              <w:top w:val="single" w:color="auto" w:sz="4" w:space="0"/>
              <w:left w:val="single" w:color="auto" w:sz="4" w:space="0"/>
              <w:bottom w:val="single" w:color="auto" w:sz="4" w:space="0"/>
              <w:right w:val="single" w:color="auto" w:sz="4" w:space="0"/>
            </w:tcBorders>
            <w:shd w:val="clear" w:color="auto" w:fill="auto"/>
            <w:vAlign w:val="center"/>
          </w:tcPr>
          <w:p w14:paraId="7D990E79">
            <w:pPr>
              <w:snapToGrid w:val="0"/>
              <w:spacing w:line="360" w:lineRule="auto"/>
              <w:jc w:val="center"/>
              <w:rPr>
                <w:rFonts w:ascii="Times New Roman" w:hAnsi="Times New Roman" w:eastAsia="宋体" w:cs="Times New Roman"/>
                <w:kern w:val="2"/>
                <w:sz w:val="18"/>
                <w:szCs w:val="18"/>
                <w:lang w:val="en-US" w:eastAsia="zh-CN" w:bidi="ar-SA"/>
              </w:rPr>
            </w:pPr>
            <w:r>
              <w:rPr>
                <w:sz w:val="18"/>
                <w:szCs w:val="18"/>
              </w:rPr>
              <w:t>8</w:t>
            </w: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435972C9">
            <w:pPr>
              <w:snapToGrid w:val="0"/>
              <w:spacing w:line="360" w:lineRule="auto"/>
              <w:jc w:val="center"/>
              <w:rPr>
                <w:rFonts w:hint="default"/>
                <w:sz w:val="18"/>
                <w:szCs w:val="18"/>
                <w:lang w:val="en-US" w:eastAsia="zh-CN"/>
              </w:rPr>
            </w:pPr>
            <w:r>
              <w:rPr>
                <w:sz w:val="18"/>
                <w:szCs w:val="18"/>
              </w:rPr>
              <w:t>6.</w:t>
            </w:r>
            <w:r>
              <w:rPr>
                <w:rFonts w:hint="eastAsia"/>
                <w:sz w:val="18"/>
                <w:szCs w:val="18"/>
                <w:lang w:val="en-US" w:eastAsia="zh-CN"/>
              </w:rPr>
              <w:t>2.3</w:t>
            </w:r>
          </w:p>
        </w:tc>
        <w:tc>
          <w:tcPr>
            <w:tcW w:w="6975" w:type="dxa"/>
            <w:tcBorders>
              <w:top w:val="single" w:color="auto" w:sz="4" w:space="0"/>
              <w:left w:val="single" w:color="auto" w:sz="4" w:space="0"/>
              <w:bottom w:val="single" w:color="auto" w:sz="4" w:space="0"/>
              <w:right w:val="single" w:color="auto" w:sz="4" w:space="0"/>
            </w:tcBorders>
            <w:shd w:val="clear" w:color="auto" w:fill="auto"/>
            <w:vAlign w:val="top"/>
          </w:tcPr>
          <w:p w14:paraId="5272C012">
            <w:pPr>
              <w:snapToGrid w:val="0"/>
              <w:spacing w:line="360" w:lineRule="auto"/>
              <w:jc w:val="center"/>
              <w:rPr>
                <w:rFonts w:hint="eastAsia"/>
                <w:sz w:val="18"/>
                <w:szCs w:val="18"/>
                <w:lang w:val="en-US" w:eastAsia="zh-CN"/>
              </w:rPr>
            </w:pPr>
            <w:r>
              <w:rPr>
                <w:rFonts w:hint="eastAsia"/>
                <w:sz w:val="18"/>
                <w:szCs w:val="18"/>
              </w:rPr>
              <w:t>注意一些农药</w:t>
            </w:r>
            <w:r>
              <w:rPr>
                <w:rFonts w:hint="eastAsia"/>
                <w:sz w:val="18"/>
                <w:szCs w:val="18"/>
                <w:lang w:val="en-US" w:eastAsia="zh-CN"/>
              </w:rPr>
              <w:t>推荐用量</w:t>
            </w:r>
            <w:r>
              <w:rPr>
                <w:rFonts w:hint="eastAsia"/>
                <w:sz w:val="18"/>
                <w:szCs w:val="18"/>
              </w:rPr>
              <w:t>已</w:t>
            </w:r>
            <w:r>
              <w:rPr>
                <w:rFonts w:hint="eastAsia"/>
                <w:sz w:val="18"/>
                <w:szCs w:val="18"/>
                <w:lang w:val="en-US" w:eastAsia="zh-CN"/>
              </w:rPr>
              <w:t>改变</w:t>
            </w:r>
          </w:p>
        </w:tc>
        <w:tc>
          <w:tcPr>
            <w:tcW w:w="2976" w:type="dxa"/>
            <w:tcBorders>
              <w:top w:val="single" w:color="auto" w:sz="4" w:space="0"/>
              <w:left w:val="single" w:color="auto" w:sz="4" w:space="0"/>
              <w:bottom w:val="single" w:color="auto" w:sz="4" w:space="0"/>
              <w:right w:val="single" w:color="auto" w:sz="4" w:space="0"/>
            </w:tcBorders>
            <w:shd w:val="clear" w:color="auto" w:fill="auto"/>
            <w:vAlign w:val="center"/>
          </w:tcPr>
          <w:p w14:paraId="5FE5398B">
            <w:pPr>
              <w:snapToGrid w:val="0"/>
              <w:spacing w:line="360" w:lineRule="auto"/>
              <w:jc w:val="center"/>
              <w:rPr>
                <w:sz w:val="18"/>
                <w:szCs w:val="18"/>
                <w:lang w:val="en-US" w:eastAsia="zh-CN"/>
              </w:rPr>
            </w:pPr>
            <w:r>
              <w:rPr>
                <w:rFonts w:hint="eastAsia"/>
                <w:sz w:val="18"/>
                <w:szCs w:val="18"/>
              </w:rPr>
              <w:t>临汾市农业生态保护发展中心</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539B0C35">
            <w:pPr>
              <w:snapToGrid w:val="0"/>
              <w:spacing w:line="360" w:lineRule="auto"/>
              <w:jc w:val="center"/>
              <w:rPr>
                <w:rFonts w:ascii="Times New Roman" w:hAnsi="Times New Roman" w:eastAsia="宋体" w:cs="Times New Roman"/>
                <w:kern w:val="0"/>
                <w:sz w:val="18"/>
                <w:szCs w:val="18"/>
                <w:lang w:val="en-US" w:eastAsia="zh-CN" w:bidi="ar-SA"/>
              </w:rPr>
            </w:pPr>
            <w:r>
              <w:rPr>
                <w:kern w:val="0"/>
                <w:sz w:val="18"/>
                <w:szCs w:val="18"/>
              </w:rPr>
              <w:t>采纳</w:t>
            </w:r>
          </w:p>
        </w:tc>
        <w:tc>
          <w:tcPr>
            <w:tcW w:w="1227" w:type="dxa"/>
            <w:tcBorders>
              <w:top w:val="single" w:color="auto" w:sz="4" w:space="0"/>
              <w:left w:val="single" w:color="auto" w:sz="4" w:space="0"/>
              <w:bottom w:val="single" w:color="auto" w:sz="4" w:space="0"/>
              <w:right w:val="single" w:color="auto" w:sz="4" w:space="0"/>
            </w:tcBorders>
            <w:vAlign w:val="center"/>
          </w:tcPr>
          <w:p w14:paraId="36AFDE40">
            <w:pPr>
              <w:snapToGrid w:val="0"/>
              <w:spacing w:line="360" w:lineRule="auto"/>
              <w:jc w:val="center"/>
              <w:rPr>
                <w:kern w:val="0"/>
                <w:sz w:val="18"/>
                <w:szCs w:val="18"/>
              </w:rPr>
            </w:pPr>
          </w:p>
        </w:tc>
      </w:tr>
      <w:tr w14:paraId="411DD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426" w:type="dxa"/>
            <w:tcBorders>
              <w:top w:val="single" w:color="auto" w:sz="4" w:space="0"/>
              <w:left w:val="single" w:color="auto" w:sz="4" w:space="0"/>
              <w:bottom w:val="single" w:color="auto" w:sz="4" w:space="0"/>
              <w:right w:val="single" w:color="auto" w:sz="4" w:space="0"/>
            </w:tcBorders>
            <w:shd w:val="clear" w:color="auto" w:fill="auto"/>
            <w:vAlign w:val="center"/>
          </w:tcPr>
          <w:p w14:paraId="216A17A8">
            <w:pPr>
              <w:snapToGrid w:val="0"/>
              <w:spacing w:line="360" w:lineRule="auto"/>
              <w:jc w:val="center"/>
              <w:rPr>
                <w:rFonts w:ascii="Times New Roman" w:hAnsi="Times New Roman" w:eastAsia="宋体" w:cs="Times New Roman"/>
                <w:kern w:val="2"/>
                <w:sz w:val="18"/>
                <w:szCs w:val="18"/>
                <w:lang w:val="en-US" w:eastAsia="zh-CN" w:bidi="ar-SA"/>
              </w:rPr>
            </w:pPr>
            <w:r>
              <w:rPr>
                <w:sz w:val="18"/>
                <w:szCs w:val="18"/>
              </w:rPr>
              <w:t>9</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439262CC">
            <w:pPr>
              <w:snapToGrid w:val="0"/>
              <w:spacing w:line="360" w:lineRule="auto"/>
              <w:jc w:val="center"/>
              <w:rPr>
                <w:rFonts w:hint="default"/>
                <w:sz w:val="18"/>
                <w:szCs w:val="18"/>
                <w:lang w:val="en-US" w:eastAsia="zh-CN"/>
              </w:rPr>
            </w:pPr>
            <w:r>
              <w:rPr>
                <w:sz w:val="18"/>
                <w:szCs w:val="18"/>
              </w:rPr>
              <w:t>6.</w:t>
            </w:r>
            <w:r>
              <w:rPr>
                <w:rFonts w:hint="eastAsia"/>
                <w:sz w:val="18"/>
                <w:szCs w:val="18"/>
                <w:lang w:val="en-US" w:eastAsia="zh-CN"/>
              </w:rPr>
              <w:t>2.4</w:t>
            </w:r>
          </w:p>
        </w:tc>
        <w:tc>
          <w:tcPr>
            <w:tcW w:w="6975" w:type="dxa"/>
            <w:tcBorders>
              <w:top w:val="single" w:color="auto" w:sz="4" w:space="0"/>
              <w:left w:val="single" w:color="auto" w:sz="4" w:space="0"/>
              <w:bottom w:val="single" w:color="auto" w:sz="4" w:space="0"/>
              <w:right w:val="single" w:color="auto" w:sz="4" w:space="0"/>
            </w:tcBorders>
            <w:shd w:val="clear" w:color="auto" w:fill="auto"/>
            <w:vAlign w:val="center"/>
          </w:tcPr>
          <w:p w14:paraId="2309977D">
            <w:pPr>
              <w:snapToGrid w:val="0"/>
              <w:spacing w:line="360" w:lineRule="auto"/>
              <w:jc w:val="center"/>
              <w:rPr>
                <w:rFonts w:hint="eastAsia"/>
                <w:sz w:val="18"/>
                <w:szCs w:val="18"/>
                <w:lang w:val="en-US" w:eastAsia="zh-CN"/>
              </w:rPr>
            </w:pPr>
            <w:r>
              <w:rPr>
                <w:rFonts w:hint="eastAsia"/>
                <w:sz w:val="18"/>
                <w:szCs w:val="18"/>
                <w:lang w:val="en-US" w:eastAsia="zh-CN"/>
              </w:rPr>
              <w:t>调整石灰盐保护剂配方</w:t>
            </w:r>
          </w:p>
        </w:tc>
        <w:tc>
          <w:tcPr>
            <w:tcW w:w="2976" w:type="dxa"/>
            <w:tcBorders>
              <w:top w:val="single" w:color="auto" w:sz="4" w:space="0"/>
              <w:left w:val="single" w:color="auto" w:sz="4" w:space="0"/>
              <w:bottom w:val="single" w:color="auto" w:sz="4" w:space="0"/>
              <w:right w:val="single" w:color="auto" w:sz="4" w:space="0"/>
            </w:tcBorders>
            <w:shd w:val="clear" w:color="auto" w:fill="auto"/>
            <w:vAlign w:val="top"/>
          </w:tcPr>
          <w:p w14:paraId="7D974C9A">
            <w:pPr>
              <w:snapToGrid w:val="0"/>
              <w:spacing w:line="360" w:lineRule="auto"/>
              <w:jc w:val="center"/>
              <w:rPr>
                <w:sz w:val="18"/>
                <w:szCs w:val="18"/>
                <w:lang w:val="en-US" w:eastAsia="zh-CN"/>
              </w:rPr>
            </w:pPr>
            <w:r>
              <w:rPr>
                <w:rFonts w:hint="eastAsia"/>
                <w:sz w:val="18"/>
                <w:szCs w:val="18"/>
              </w:rPr>
              <w:t>临汾市农业生态保护发展中心</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14:paraId="6902E7DF">
            <w:pPr>
              <w:snapToGrid w:val="0"/>
              <w:spacing w:line="360" w:lineRule="auto"/>
              <w:jc w:val="center"/>
              <w:rPr>
                <w:rFonts w:ascii="Times New Roman" w:hAnsi="Times New Roman" w:eastAsia="宋体" w:cs="Times New Roman"/>
                <w:kern w:val="0"/>
                <w:sz w:val="18"/>
                <w:szCs w:val="18"/>
                <w:lang w:val="en-US" w:eastAsia="zh-CN" w:bidi="ar-SA"/>
              </w:rPr>
            </w:pPr>
            <w:r>
              <w:rPr>
                <w:kern w:val="0"/>
                <w:sz w:val="18"/>
                <w:szCs w:val="18"/>
              </w:rPr>
              <w:t>采纳</w:t>
            </w:r>
          </w:p>
        </w:tc>
        <w:tc>
          <w:tcPr>
            <w:tcW w:w="1227" w:type="dxa"/>
            <w:tcBorders>
              <w:top w:val="single" w:color="auto" w:sz="4" w:space="0"/>
              <w:left w:val="single" w:color="auto" w:sz="4" w:space="0"/>
              <w:bottom w:val="single" w:color="auto" w:sz="4" w:space="0"/>
              <w:right w:val="single" w:color="auto" w:sz="4" w:space="0"/>
            </w:tcBorders>
            <w:vAlign w:val="center"/>
          </w:tcPr>
          <w:p w14:paraId="0AD55B75">
            <w:pPr>
              <w:snapToGrid w:val="0"/>
              <w:spacing w:line="240" w:lineRule="atLeast"/>
              <w:jc w:val="center"/>
              <w:rPr>
                <w:kern w:val="0"/>
                <w:sz w:val="18"/>
                <w:szCs w:val="18"/>
              </w:rPr>
            </w:pPr>
          </w:p>
        </w:tc>
      </w:tr>
      <w:tr w14:paraId="4E5DE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tcBorders>
              <w:top w:val="single" w:color="auto" w:sz="4" w:space="0"/>
              <w:left w:val="single" w:color="auto" w:sz="4" w:space="0"/>
              <w:bottom w:val="single" w:color="auto" w:sz="4" w:space="0"/>
              <w:right w:val="single" w:color="auto" w:sz="4" w:space="0"/>
            </w:tcBorders>
            <w:vAlign w:val="center"/>
          </w:tcPr>
          <w:p w14:paraId="70FE8EE2">
            <w:pPr>
              <w:snapToGrid w:val="0"/>
              <w:spacing w:line="360" w:lineRule="auto"/>
              <w:jc w:val="center"/>
              <w:rPr>
                <w:rFonts w:hint="default" w:eastAsia="宋体"/>
                <w:sz w:val="18"/>
                <w:szCs w:val="18"/>
                <w:lang w:val="en-US" w:eastAsia="zh-CN"/>
              </w:rPr>
            </w:pPr>
            <w:r>
              <w:rPr>
                <w:rFonts w:hint="eastAsia"/>
                <w:sz w:val="18"/>
                <w:szCs w:val="18"/>
                <w:lang w:val="en-US" w:eastAsia="zh-CN"/>
              </w:rPr>
              <w:t>10</w:t>
            </w: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37D60272">
            <w:pPr>
              <w:snapToGrid w:val="0"/>
              <w:spacing w:line="360" w:lineRule="auto"/>
              <w:jc w:val="center"/>
              <w:rPr>
                <w:rFonts w:hint="eastAsia"/>
                <w:sz w:val="18"/>
                <w:szCs w:val="18"/>
                <w:lang w:val="en-US" w:eastAsia="zh-CN"/>
              </w:rPr>
            </w:pPr>
            <w:r>
              <w:rPr>
                <w:rFonts w:hint="eastAsia"/>
                <w:sz w:val="18"/>
                <w:szCs w:val="18"/>
                <w:lang w:val="en-US" w:eastAsia="zh-CN"/>
              </w:rPr>
              <w:t>6.3.1</w:t>
            </w:r>
          </w:p>
        </w:tc>
        <w:tc>
          <w:tcPr>
            <w:tcW w:w="6975" w:type="dxa"/>
            <w:tcBorders>
              <w:top w:val="single" w:color="auto" w:sz="4" w:space="0"/>
              <w:left w:val="single" w:color="auto" w:sz="4" w:space="0"/>
              <w:bottom w:val="single" w:color="auto" w:sz="4" w:space="0"/>
              <w:right w:val="single" w:color="auto" w:sz="4" w:space="0"/>
            </w:tcBorders>
            <w:shd w:val="clear" w:color="auto" w:fill="auto"/>
            <w:vAlign w:val="top"/>
          </w:tcPr>
          <w:p w14:paraId="7187F181">
            <w:pPr>
              <w:snapToGrid w:val="0"/>
              <w:spacing w:line="360" w:lineRule="auto"/>
              <w:jc w:val="center"/>
              <w:rPr>
                <w:rFonts w:hint="eastAsia"/>
                <w:sz w:val="18"/>
                <w:szCs w:val="18"/>
                <w:lang w:val="en-US" w:eastAsia="zh-CN"/>
              </w:rPr>
            </w:pPr>
            <w:r>
              <w:rPr>
                <w:rFonts w:hint="eastAsia"/>
                <w:sz w:val="18"/>
                <w:szCs w:val="18"/>
              </w:rPr>
              <w:t>生物防治当中增加</w:t>
            </w:r>
            <w:r>
              <w:rPr>
                <w:rFonts w:hint="eastAsia"/>
                <w:sz w:val="18"/>
                <w:szCs w:val="18"/>
                <w:lang w:val="en-US" w:eastAsia="zh-CN"/>
              </w:rPr>
              <w:t>生防菌株的种类</w:t>
            </w:r>
          </w:p>
        </w:tc>
        <w:tc>
          <w:tcPr>
            <w:tcW w:w="2976" w:type="dxa"/>
            <w:tcBorders>
              <w:top w:val="single" w:color="auto" w:sz="4" w:space="0"/>
              <w:left w:val="single" w:color="auto" w:sz="4" w:space="0"/>
              <w:bottom w:val="single" w:color="auto" w:sz="4" w:space="0"/>
              <w:right w:val="single" w:color="auto" w:sz="4" w:space="0"/>
            </w:tcBorders>
            <w:shd w:val="clear" w:color="auto" w:fill="auto"/>
            <w:vAlign w:val="top"/>
          </w:tcPr>
          <w:p w14:paraId="0645F20E">
            <w:pPr>
              <w:snapToGrid w:val="0"/>
              <w:spacing w:line="360" w:lineRule="auto"/>
              <w:jc w:val="center"/>
              <w:rPr>
                <w:sz w:val="18"/>
                <w:szCs w:val="18"/>
                <w:lang w:val="en-US" w:eastAsia="zh-CN"/>
              </w:rPr>
            </w:pPr>
            <w:r>
              <w:rPr>
                <w:rFonts w:hint="eastAsia"/>
                <w:sz w:val="18"/>
                <w:szCs w:val="18"/>
              </w:rPr>
              <w:t>临汾市农业生态保护发展中心</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14:paraId="6006C85A">
            <w:pPr>
              <w:snapToGrid w:val="0"/>
              <w:spacing w:line="240" w:lineRule="atLeast"/>
              <w:jc w:val="center"/>
              <w:rPr>
                <w:rFonts w:ascii="Times New Roman" w:hAnsi="Times New Roman" w:eastAsia="宋体" w:cs="Times New Roman"/>
                <w:kern w:val="0"/>
                <w:sz w:val="18"/>
                <w:szCs w:val="18"/>
                <w:lang w:val="en-US" w:eastAsia="zh-CN" w:bidi="ar-SA"/>
              </w:rPr>
            </w:pPr>
            <w:r>
              <w:rPr>
                <w:kern w:val="0"/>
                <w:sz w:val="18"/>
                <w:szCs w:val="18"/>
              </w:rPr>
              <w:t>采纳</w:t>
            </w:r>
          </w:p>
        </w:tc>
        <w:tc>
          <w:tcPr>
            <w:tcW w:w="1227" w:type="dxa"/>
            <w:tcBorders>
              <w:top w:val="single" w:color="auto" w:sz="4" w:space="0"/>
              <w:left w:val="single" w:color="auto" w:sz="4" w:space="0"/>
              <w:bottom w:val="single" w:color="auto" w:sz="4" w:space="0"/>
              <w:right w:val="single" w:color="auto" w:sz="4" w:space="0"/>
            </w:tcBorders>
            <w:vAlign w:val="center"/>
          </w:tcPr>
          <w:p w14:paraId="41F1857C">
            <w:pPr>
              <w:snapToGrid w:val="0"/>
              <w:spacing w:line="360" w:lineRule="auto"/>
              <w:jc w:val="center"/>
              <w:rPr>
                <w:kern w:val="0"/>
                <w:sz w:val="18"/>
                <w:szCs w:val="18"/>
              </w:rPr>
            </w:pPr>
          </w:p>
        </w:tc>
      </w:tr>
      <w:tr w14:paraId="135D9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0" w:type="dxa"/>
            <w:gridSpan w:val="6"/>
            <w:tcBorders>
              <w:top w:val="single" w:color="auto" w:sz="4" w:space="0"/>
              <w:left w:val="single" w:color="auto" w:sz="4" w:space="0"/>
              <w:bottom w:val="single" w:color="auto" w:sz="4" w:space="0"/>
              <w:right w:val="single" w:color="auto" w:sz="4" w:space="0"/>
            </w:tcBorders>
            <w:vAlign w:val="center"/>
          </w:tcPr>
          <w:p w14:paraId="4CBEE2C7">
            <w:pPr>
              <w:snapToGrid w:val="0"/>
              <w:spacing w:line="360" w:lineRule="auto"/>
              <w:ind w:firstLine="180" w:firstLineChars="100"/>
              <w:jc w:val="center"/>
              <w:rPr>
                <w:kern w:val="0"/>
                <w:sz w:val="18"/>
                <w:szCs w:val="18"/>
              </w:rPr>
            </w:pPr>
            <w:r>
              <w:rPr>
                <w:kern w:val="0"/>
                <w:sz w:val="18"/>
                <w:szCs w:val="18"/>
              </w:rPr>
              <w:t>说明：1、针对明确回复无意见的单位，请在“意见内容”中注明无意见，在“提出单位”中列出无意见单位的名称。</w:t>
            </w:r>
          </w:p>
          <w:p w14:paraId="506F1EC2">
            <w:pPr>
              <w:snapToGrid w:val="0"/>
              <w:spacing w:line="360" w:lineRule="auto"/>
              <w:ind w:firstLine="720" w:firstLineChars="400"/>
              <w:jc w:val="center"/>
              <w:rPr>
                <w:kern w:val="0"/>
                <w:sz w:val="18"/>
                <w:szCs w:val="18"/>
              </w:rPr>
            </w:pPr>
            <w:r>
              <w:rPr>
                <w:kern w:val="0"/>
                <w:sz w:val="18"/>
                <w:szCs w:val="18"/>
              </w:rPr>
              <w:t>2、发送征求意见稿单位数4个；回到征求意见稿回函的单位数4个；收到征求意见稿并提出意见的单位数4个；没有回函的单位数0个；共收</w:t>
            </w:r>
          </w:p>
          <w:p w14:paraId="556185BF">
            <w:pPr>
              <w:snapToGrid w:val="0"/>
              <w:spacing w:line="360" w:lineRule="auto"/>
              <w:jc w:val="center"/>
              <w:rPr>
                <w:kern w:val="0"/>
                <w:sz w:val="18"/>
                <w:szCs w:val="18"/>
              </w:rPr>
            </w:pPr>
            <w:r>
              <w:rPr>
                <w:kern w:val="0"/>
                <w:sz w:val="18"/>
                <w:szCs w:val="18"/>
              </w:rPr>
              <w:t>到</w:t>
            </w:r>
            <w:r>
              <w:rPr>
                <w:rFonts w:hint="eastAsia"/>
                <w:kern w:val="0"/>
                <w:sz w:val="18"/>
                <w:szCs w:val="18"/>
                <w:lang w:val="en-US" w:eastAsia="zh-CN"/>
              </w:rPr>
              <w:t>10</w:t>
            </w:r>
            <w:r>
              <w:rPr>
                <w:kern w:val="0"/>
                <w:sz w:val="18"/>
                <w:szCs w:val="18"/>
              </w:rPr>
              <w:t>条意见，采纳</w:t>
            </w:r>
            <w:r>
              <w:rPr>
                <w:rFonts w:hint="eastAsia"/>
                <w:kern w:val="0"/>
                <w:sz w:val="18"/>
                <w:szCs w:val="18"/>
                <w:lang w:val="en-US" w:eastAsia="zh-CN"/>
              </w:rPr>
              <w:t>10</w:t>
            </w:r>
            <w:r>
              <w:rPr>
                <w:kern w:val="0"/>
                <w:sz w:val="18"/>
                <w:szCs w:val="18"/>
              </w:rPr>
              <w:t>条意见，未采纳0条意见</w:t>
            </w:r>
          </w:p>
        </w:tc>
      </w:tr>
    </w:tbl>
    <w:p w14:paraId="75F07847">
      <w:pPr>
        <w:bidi w:val="0"/>
        <w:jc w:val="both"/>
        <w:rPr>
          <w:lang w:val="en-US" w:eastAsia="zh-CN"/>
        </w:rPr>
      </w:pPr>
    </w:p>
    <w:sectPr>
      <w:pgSz w:w="16838" w:h="11906" w:orient="landscape"/>
      <w:pgMar w:top="1603" w:right="1440" w:bottom="1483" w:left="1440" w:header="851" w:footer="992" w:gutter="0"/>
      <w:pgNumType w:start="1"/>
      <w:cols w:space="0" w:num="1"/>
      <w:titlePg/>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Mangal">
    <w:altName w:val="DejaVu Math TeX Gyre"/>
    <w:panose1 w:val="02040503050203030202"/>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F8714">
    <w:pPr>
      <w:pStyle w:val="12"/>
      <w:jc w:val="center"/>
    </w:pPr>
    <w:r>
      <w:fldChar w:fldCharType="begin"/>
    </w:r>
    <w:r>
      <w:instrText xml:space="preserve">PAGE   \* MERGEFORMAT</w:instrText>
    </w:r>
    <w:r>
      <w:fldChar w:fldCharType="separate"/>
    </w:r>
    <w:r>
      <w:rPr>
        <w:lang w:val="zh-CN"/>
      </w:rPr>
      <w:t>6</w:t>
    </w:r>
    <w:r>
      <w:rPr>
        <w:lang w:val="zh-CN"/>
      </w:rPr>
      <w:fldChar w:fldCharType="end"/>
    </w:r>
  </w:p>
  <w:p w14:paraId="2CDA8071">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4"/>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35"/>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36"/>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9"/>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2ZjgyMGVmMWEyN2IyOWQwOGVjYjEyNzJiNGZhNzUifQ=="/>
  </w:docVars>
  <w:rsids>
    <w:rsidRoot w:val="00636FC5"/>
    <w:rsid w:val="00001C9C"/>
    <w:rsid w:val="00002121"/>
    <w:rsid w:val="00003D4E"/>
    <w:rsid w:val="0001430A"/>
    <w:rsid w:val="000173E8"/>
    <w:rsid w:val="000203B7"/>
    <w:rsid w:val="00021FC1"/>
    <w:rsid w:val="00024D73"/>
    <w:rsid w:val="00025BA5"/>
    <w:rsid w:val="00035FEB"/>
    <w:rsid w:val="000443C0"/>
    <w:rsid w:val="00045395"/>
    <w:rsid w:val="00045C4C"/>
    <w:rsid w:val="000471FB"/>
    <w:rsid w:val="00051B0A"/>
    <w:rsid w:val="00054BA0"/>
    <w:rsid w:val="00061514"/>
    <w:rsid w:val="0007270B"/>
    <w:rsid w:val="00073F3B"/>
    <w:rsid w:val="000754B9"/>
    <w:rsid w:val="00080D84"/>
    <w:rsid w:val="00087B70"/>
    <w:rsid w:val="0009360F"/>
    <w:rsid w:val="0009699A"/>
    <w:rsid w:val="000974DE"/>
    <w:rsid w:val="000A23F9"/>
    <w:rsid w:val="000A281F"/>
    <w:rsid w:val="000B59DE"/>
    <w:rsid w:val="000C1548"/>
    <w:rsid w:val="000C203B"/>
    <w:rsid w:val="000C24FA"/>
    <w:rsid w:val="000C2F16"/>
    <w:rsid w:val="000C3919"/>
    <w:rsid w:val="000C5AE1"/>
    <w:rsid w:val="000C62FE"/>
    <w:rsid w:val="000D7E22"/>
    <w:rsid w:val="000E0029"/>
    <w:rsid w:val="000E0518"/>
    <w:rsid w:val="000E5DDF"/>
    <w:rsid w:val="000F4B2A"/>
    <w:rsid w:val="00104D9E"/>
    <w:rsid w:val="001079E4"/>
    <w:rsid w:val="00114B28"/>
    <w:rsid w:val="00136B80"/>
    <w:rsid w:val="00140883"/>
    <w:rsid w:val="001422D2"/>
    <w:rsid w:val="00142DCA"/>
    <w:rsid w:val="001451F2"/>
    <w:rsid w:val="00153E55"/>
    <w:rsid w:val="00155235"/>
    <w:rsid w:val="0016381F"/>
    <w:rsid w:val="0016534D"/>
    <w:rsid w:val="001653E3"/>
    <w:rsid w:val="001657F4"/>
    <w:rsid w:val="0017715D"/>
    <w:rsid w:val="00184DC2"/>
    <w:rsid w:val="00195264"/>
    <w:rsid w:val="00195C1A"/>
    <w:rsid w:val="001A0041"/>
    <w:rsid w:val="001A0916"/>
    <w:rsid w:val="001C0311"/>
    <w:rsid w:val="001C1B81"/>
    <w:rsid w:val="001C2BE8"/>
    <w:rsid w:val="001C3ACE"/>
    <w:rsid w:val="001D06C4"/>
    <w:rsid w:val="001D0957"/>
    <w:rsid w:val="001D7128"/>
    <w:rsid w:val="001E486F"/>
    <w:rsid w:val="001F695E"/>
    <w:rsid w:val="001F7C13"/>
    <w:rsid w:val="001F7CF9"/>
    <w:rsid w:val="0020132D"/>
    <w:rsid w:val="002042E4"/>
    <w:rsid w:val="00211530"/>
    <w:rsid w:val="00213570"/>
    <w:rsid w:val="00217A11"/>
    <w:rsid w:val="00217B36"/>
    <w:rsid w:val="002216A8"/>
    <w:rsid w:val="00226A9A"/>
    <w:rsid w:val="00226FD3"/>
    <w:rsid w:val="00227FEE"/>
    <w:rsid w:val="00230DF6"/>
    <w:rsid w:val="00233658"/>
    <w:rsid w:val="00233B76"/>
    <w:rsid w:val="00243164"/>
    <w:rsid w:val="00243B8F"/>
    <w:rsid w:val="00243DA6"/>
    <w:rsid w:val="00243E19"/>
    <w:rsid w:val="00247BC6"/>
    <w:rsid w:val="002508ED"/>
    <w:rsid w:val="00252DE5"/>
    <w:rsid w:val="002606D8"/>
    <w:rsid w:val="00261187"/>
    <w:rsid w:val="00267EEC"/>
    <w:rsid w:val="00270C24"/>
    <w:rsid w:val="00273B1D"/>
    <w:rsid w:val="002746DC"/>
    <w:rsid w:val="00277378"/>
    <w:rsid w:val="00277EC1"/>
    <w:rsid w:val="0028564F"/>
    <w:rsid w:val="00285ABA"/>
    <w:rsid w:val="002B52FE"/>
    <w:rsid w:val="002B6A3E"/>
    <w:rsid w:val="002B7335"/>
    <w:rsid w:val="002C169F"/>
    <w:rsid w:val="002C3C6B"/>
    <w:rsid w:val="002D3E11"/>
    <w:rsid w:val="002E04E6"/>
    <w:rsid w:val="002E543C"/>
    <w:rsid w:val="002E5A2F"/>
    <w:rsid w:val="003024F7"/>
    <w:rsid w:val="0031028C"/>
    <w:rsid w:val="003150DE"/>
    <w:rsid w:val="00315657"/>
    <w:rsid w:val="003158E5"/>
    <w:rsid w:val="003221E9"/>
    <w:rsid w:val="003259EC"/>
    <w:rsid w:val="00330396"/>
    <w:rsid w:val="003311E6"/>
    <w:rsid w:val="00332318"/>
    <w:rsid w:val="0033472D"/>
    <w:rsid w:val="00336488"/>
    <w:rsid w:val="00342A32"/>
    <w:rsid w:val="003439A2"/>
    <w:rsid w:val="00344D61"/>
    <w:rsid w:val="003469EC"/>
    <w:rsid w:val="00347085"/>
    <w:rsid w:val="003509C0"/>
    <w:rsid w:val="003556E4"/>
    <w:rsid w:val="0036351B"/>
    <w:rsid w:val="00366032"/>
    <w:rsid w:val="003705E8"/>
    <w:rsid w:val="00371543"/>
    <w:rsid w:val="003716D4"/>
    <w:rsid w:val="003831CC"/>
    <w:rsid w:val="00390EE0"/>
    <w:rsid w:val="003925B2"/>
    <w:rsid w:val="00394B25"/>
    <w:rsid w:val="0039560A"/>
    <w:rsid w:val="003A21FE"/>
    <w:rsid w:val="003A5C65"/>
    <w:rsid w:val="003B0DE6"/>
    <w:rsid w:val="003B17F4"/>
    <w:rsid w:val="003B1D77"/>
    <w:rsid w:val="003B7D6F"/>
    <w:rsid w:val="003C3911"/>
    <w:rsid w:val="003D3463"/>
    <w:rsid w:val="003D528A"/>
    <w:rsid w:val="003D6374"/>
    <w:rsid w:val="003D6FB0"/>
    <w:rsid w:val="003E0207"/>
    <w:rsid w:val="003E24D6"/>
    <w:rsid w:val="003E2D3A"/>
    <w:rsid w:val="003F035B"/>
    <w:rsid w:val="003F1FC6"/>
    <w:rsid w:val="003F3EBE"/>
    <w:rsid w:val="00402952"/>
    <w:rsid w:val="004047A2"/>
    <w:rsid w:val="00404C7A"/>
    <w:rsid w:val="00407C56"/>
    <w:rsid w:val="00410C0E"/>
    <w:rsid w:val="00420EB4"/>
    <w:rsid w:val="004240E3"/>
    <w:rsid w:val="00433525"/>
    <w:rsid w:val="00435EF8"/>
    <w:rsid w:val="00441A8F"/>
    <w:rsid w:val="00441B8A"/>
    <w:rsid w:val="0044501D"/>
    <w:rsid w:val="004450AB"/>
    <w:rsid w:val="00451A7E"/>
    <w:rsid w:val="004547E0"/>
    <w:rsid w:val="00461F43"/>
    <w:rsid w:val="0046480C"/>
    <w:rsid w:val="004770BA"/>
    <w:rsid w:val="0048050F"/>
    <w:rsid w:val="00485AB3"/>
    <w:rsid w:val="0049020D"/>
    <w:rsid w:val="004943B6"/>
    <w:rsid w:val="00494F67"/>
    <w:rsid w:val="00495DCD"/>
    <w:rsid w:val="00496C8A"/>
    <w:rsid w:val="004A0CC0"/>
    <w:rsid w:val="004A2295"/>
    <w:rsid w:val="004A6D81"/>
    <w:rsid w:val="004A7E24"/>
    <w:rsid w:val="004B7966"/>
    <w:rsid w:val="004B7B8C"/>
    <w:rsid w:val="004D4066"/>
    <w:rsid w:val="004D62AF"/>
    <w:rsid w:val="004E42DA"/>
    <w:rsid w:val="004E45D5"/>
    <w:rsid w:val="004E531D"/>
    <w:rsid w:val="004E5AFA"/>
    <w:rsid w:val="004F10CE"/>
    <w:rsid w:val="004F4490"/>
    <w:rsid w:val="004F4EF5"/>
    <w:rsid w:val="004F6A63"/>
    <w:rsid w:val="00504A7B"/>
    <w:rsid w:val="0050538B"/>
    <w:rsid w:val="005119FA"/>
    <w:rsid w:val="00513F60"/>
    <w:rsid w:val="005165DC"/>
    <w:rsid w:val="00532EC9"/>
    <w:rsid w:val="0053409C"/>
    <w:rsid w:val="0053513E"/>
    <w:rsid w:val="005354BE"/>
    <w:rsid w:val="00535FC3"/>
    <w:rsid w:val="00536728"/>
    <w:rsid w:val="0056323B"/>
    <w:rsid w:val="00573771"/>
    <w:rsid w:val="005811F3"/>
    <w:rsid w:val="00582DEA"/>
    <w:rsid w:val="0058589E"/>
    <w:rsid w:val="0059142D"/>
    <w:rsid w:val="005915E3"/>
    <w:rsid w:val="0059179A"/>
    <w:rsid w:val="00597C60"/>
    <w:rsid w:val="005A0ED2"/>
    <w:rsid w:val="005A3C89"/>
    <w:rsid w:val="005A42A5"/>
    <w:rsid w:val="005B07C8"/>
    <w:rsid w:val="005B1473"/>
    <w:rsid w:val="005B4A6F"/>
    <w:rsid w:val="005B7CA6"/>
    <w:rsid w:val="005C1F9E"/>
    <w:rsid w:val="005D7AAF"/>
    <w:rsid w:val="005E5E7B"/>
    <w:rsid w:val="005F020B"/>
    <w:rsid w:val="005F3B9E"/>
    <w:rsid w:val="005F3DB9"/>
    <w:rsid w:val="005F5D65"/>
    <w:rsid w:val="005F76FB"/>
    <w:rsid w:val="00602A1E"/>
    <w:rsid w:val="00604181"/>
    <w:rsid w:val="00604E2D"/>
    <w:rsid w:val="0060567D"/>
    <w:rsid w:val="00611A58"/>
    <w:rsid w:val="00614AA4"/>
    <w:rsid w:val="00616FC1"/>
    <w:rsid w:val="006178F9"/>
    <w:rsid w:val="00617A46"/>
    <w:rsid w:val="00620469"/>
    <w:rsid w:val="006206EA"/>
    <w:rsid w:val="0063154F"/>
    <w:rsid w:val="00633B19"/>
    <w:rsid w:val="00633EF1"/>
    <w:rsid w:val="00636FC5"/>
    <w:rsid w:val="006400BA"/>
    <w:rsid w:val="00641B9A"/>
    <w:rsid w:val="006423BB"/>
    <w:rsid w:val="00642628"/>
    <w:rsid w:val="006467CA"/>
    <w:rsid w:val="006500A2"/>
    <w:rsid w:val="0066172F"/>
    <w:rsid w:val="00662AD1"/>
    <w:rsid w:val="00663745"/>
    <w:rsid w:val="00670B31"/>
    <w:rsid w:val="006756E6"/>
    <w:rsid w:val="0068404D"/>
    <w:rsid w:val="00691427"/>
    <w:rsid w:val="006915F6"/>
    <w:rsid w:val="006918FB"/>
    <w:rsid w:val="00693173"/>
    <w:rsid w:val="0069777F"/>
    <w:rsid w:val="006A4784"/>
    <w:rsid w:val="006A5225"/>
    <w:rsid w:val="006A7107"/>
    <w:rsid w:val="006B3E2E"/>
    <w:rsid w:val="006C472E"/>
    <w:rsid w:val="006C54DC"/>
    <w:rsid w:val="006C7054"/>
    <w:rsid w:val="006D0FBE"/>
    <w:rsid w:val="006D1116"/>
    <w:rsid w:val="006E02DD"/>
    <w:rsid w:val="006E1129"/>
    <w:rsid w:val="00702811"/>
    <w:rsid w:val="00706BC0"/>
    <w:rsid w:val="007138B0"/>
    <w:rsid w:val="00713D54"/>
    <w:rsid w:val="00715399"/>
    <w:rsid w:val="00720C80"/>
    <w:rsid w:val="007230A0"/>
    <w:rsid w:val="0072360B"/>
    <w:rsid w:val="0072435E"/>
    <w:rsid w:val="007249D5"/>
    <w:rsid w:val="00730F68"/>
    <w:rsid w:val="00734037"/>
    <w:rsid w:val="0074190C"/>
    <w:rsid w:val="00742083"/>
    <w:rsid w:val="00755C73"/>
    <w:rsid w:val="00757A64"/>
    <w:rsid w:val="00760C71"/>
    <w:rsid w:val="00763867"/>
    <w:rsid w:val="00767B97"/>
    <w:rsid w:val="0077176C"/>
    <w:rsid w:val="00772C34"/>
    <w:rsid w:val="00773A15"/>
    <w:rsid w:val="007743EC"/>
    <w:rsid w:val="00776852"/>
    <w:rsid w:val="00776D66"/>
    <w:rsid w:val="00777B27"/>
    <w:rsid w:val="00791BB3"/>
    <w:rsid w:val="0079399E"/>
    <w:rsid w:val="0079424C"/>
    <w:rsid w:val="00795AB4"/>
    <w:rsid w:val="007975E1"/>
    <w:rsid w:val="007A65A0"/>
    <w:rsid w:val="007B0D2E"/>
    <w:rsid w:val="007B2777"/>
    <w:rsid w:val="007B2968"/>
    <w:rsid w:val="007C39F2"/>
    <w:rsid w:val="007C3AD6"/>
    <w:rsid w:val="007C3D18"/>
    <w:rsid w:val="007D08C1"/>
    <w:rsid w:val="007D31A8"/>
    <w:rsid w:val="007D5F37"/>
    <w:rsid w:val="007E6D31"/>
    <w:rsid w:val="00800843"/>
    <w:rsid w:val="008024F2"/>
    <w:rsid w:val="00807629"/>
    <w:rsid w:val="008125DA"/>
    <w:rsid w:val="00817229"/>
    <w:rsid w:val="00820DFB"/>
    <w:rsid w:val="00821F58"/>
    <w:rsid w:val="008263E7"/>
    <w:rsid w:val="008306CD"/>
    <w:rsid w:val="00840427"/>
    <w:rsid w:val="008449F5"/>
    <w:rsid w:val="0084546C"/>
    <w:rsid w:val="008471EC"/>
    <w:rsid w:val="008519FE"/>
    <w:rsid w:val="00856ECE"/>
    <w:rsid w:val="00862581"/>
    <w:rsid w:val="00863825"/>
    <w:rsid w:val="008729C9"/>
    <w:rsid w:val="00874B45"/>
    <w:rsid w:val="00880EC6"/>
    <w:rsid w:val="00884A91"/>
    <w:rsid w:val="008935DA"/>
    <w:rsid w:val="008A1B81"/>
    <w:rsid w:val="008A36A4"/>
    <w:rsid w:val="008A699E"/>
    <w:rsid w:val="008A6D37"/>
    <w:rsid w:val="008B7F7F"/>
    <w:rsid w:val="008C1D81"/>
    <w:rsid w:val="008C4583"/>
    <w:rsid w:val="008E256F"/>
    <w:rsid w:val="008E454E"/>
    <w:rsid w:val="008E4FFC"/>
    <w:rsid w:val="008F1AAD"/>
    <w:rsid w:val="008F5288"/>
    <w:rsid w:val="0091113A"/>
    <w:rsid w:val="00915F25"/>
    <w:rsid w:val="009166F0"/>
    <w:rsid w:val="00916E3B"/>
    <w:rsid w:val="00920385"/>
    <w:rsid w:val="009211BD"/>
    <w:rsid w:val="0092160B"/>
    <w:rsid w:val="0092627B"/>
    <w:rsid w:val="00934199"/>
    <w:rsid w:val="009358E1"/>
    <w:rsid w:val="00936A6B"/>
    <w:rsid w:val="00953792"/>
    <w:rsid w:val="00957817"/>
    <w:rsid w:val="009705E2"/>
    <w:rsid w:val="00975940"/>
    <w:rsid w:val="0098254B"/>
    <w:rsid w:val="00983D55"/>
    <w:rsid w:val="0098417D"/>
    <w:rsid w:val="009875C5"/>
    <w:rsid w:val="00991DF6"/>
    <w:rsid w:val="0099572B"/>
    <w:rsid w:val="00996196"/>
    <w:rsid w:val="0099787D"/>
    <w:rsid w:val="009A2FA1"/>
    <w:rsid w:val="009B4E35"/>
    <w:rsid w:val="009C3329"/>
    <w:rsid w:val="009C558A"/>
    <w:rsid w:val="009C596B"/>
    <w:rsid w:val="009C5E73"/>
    <w:rsid w:val="009D5C90"/>
    <w:rsid w:val="009D6DF5"/>
    <w:rsid w:val="009F1169"/>
    <w:rsid w:val="009F39E8"/>
    <w:rsid w:val="009F75FD"/>
    <w:rsid w:val="00A13416"/>
    <w:rsid w:val="00A2176F"/>
    <w:rsid w:val="00A235C2"/>
    <w:rsid w:val="00A23701"/>
    <w:rsid w:val="00A25526"/>
    <w:rsid w:val="00A30ABC"/>
    <w:rsid w:val="00A31F81"/>
    <w:rsid w:val="00A37819"/>
    <w:rsid w:val="00A4435A"/>
    <w:rsid w:val="00A4451F"/>
    <w:rsid w:val="00A46A80"/>
    <w:rsid w:val="00A52D3C"/>
    <w:rsid w:val="00A53139"/>
    <w:rsid w:val="00A53AA5"/>
    <w:rsid w:val="00A62ED4"/>
    <w:rsid w:val="00A6637E"/>
    <w:rsid w:val="00A73148"/>
    <w:rsid w:val="00A74F2B"/>
    <w:rsid w:val="00A8184F"/>
    <w:rsid w:val="00A90B3A"/>
    <w:rsid w:val="00A935E8"/>
    <w:rsid w:val="00A9450A"/>
    <w:rsid w:val="00A9569D"/>
    <w:rsid w:val="00AA538B"/>
    <w:rsid w:val="00AA685C"/>
    <w:rsid w:val="00AB297F"/>
    <w:rsid w:val="00AB4A9B"/>
    <w:rsid w:val="00AC0AF2"/>
    <w:rsid w:val="00AC2568"/>
    <w:rsid w:val="00AC7446"/>
    <w:rsid w:val="00AD10B8"/>
    <w:rsid w:val="00AD6B94"/>
    <w:rsid w:val="00AF0D1C"/>
    <w:rsid w:val="00AF58B6"/>
    <w:rsid w:val="00B01F81"/>
    <w:rsid w:val="00B03A6D"/>
    <w:rsid w:val="00B04CAD"/>
    <w:rsid w:val="00B04FD0"/>
    <w:rsid w:val="00B071E5"/>
    <w:rsid w:val="00B104BD"/>
    <w:rsid w:val="00B1146C"/>
    <w:rsid w:val="00B130AF"/>
    <w:rsid w:val="00B22B39"/>
    <w:rsid w:val="00B24ED8"/>
    <w:rsid w:val="00B271DE"/>
    <w:rsid w:val="00B27F8A"/>
    <w:rsid w:val="00B3317B"/>
    <w:rsid w:val="00B36550"/>
    <w:rsid w:val="00B43960"/>
    <w:rsid w:val="00B503CA"/>
    <w:rsid w:val="00B56043"/>
    <w:rsid w:val="00B67E1C"/>
    <w:rsid w:val="00B767B8"/>
    <w:rsid w:val="00B77A1D"/>
    <w:rsid w:val="00B80ADA"/>
    <w:rsid w:val="00B8370A"/>
    <w:rsid w:val="00B85CE2"/>
    <w:rsid w:val="00B877F0"/>
    <w:rsid w:val="00B93351"/>
    <w:rsid w:val="00B95E63"/>
    <w:rsid w:val="00B96E91"/>
    <w:rsid w:val="00BA2CDB"/>
    <w:rsid w:val="00BA3C87"/>
    <w:rsid w:val="00BA595B"/>
    <w:rsid w:val="00BA7A98"/>
    <w:rsid w:val="00BB1509"/>
    <w:rsid w:val="00BB6BC4"/>
    <w:rsid w:val="00BC5FAC"/>
    <w:rsid w:val="00BD5606"/>
    <w:rsid w:val="00BE2554"/>
    <w:rsid w:val="00BE3B52"/>
    <w:rsid w:val="00BE465C"/>
    <w:rsid w:val="00C0240D"/>
    <w:rsid w:val="00C0419D"/>
    <w:rsid w:val="00C05123"/>
    <w:rsid w:val="00C06C73"/>
    <w:rsid w:val="00C15323"/>
    <w:rsid w:val="00C3286F"/>
    <w:rsid w:val="00C3299F"/>
    <w:rsid w:val="00C33013"/>
    <w:rsid w:val="00C43949"/>
    <w:rsid w:val="00C43F25"/>
    <w:rsid w:val="00C459D1"/>
    <w:rsid w:val="00C505BD"/>
    <w:rsid w:val="00C561D9"/>
    <w:rsid w:val="00C665D4"/>
    <w:rsid w:val="00C7245E"/>
    <w:rsid w:val="00C76C16"/>
    <w:rsid w:val="00C77D84"/>
    <w:rsid w:val="00C815C4"/>
    <w:rsid w:val="00C84B6C"/>
    <w:rsid w:val="00C93AC5"/>
    <w:rsid w:val="00CA0F6E"/>
    <w:rsid w:val="00CA1614"/>
    <w:rsid w:val="00CA54AC"/>
    <w:rsid w:val="00CA746E"/>
    <w:rsid w:val="00CA7B78"/>
    <w:rsid w:val="00CB117C"/>
    <w:rsid w:val="00CC297A"/>
    <w:rsid w:val="00CC3B0C"/>
    <w:rsid w:val="00CD687E"/>
    <w:rsid w:val="00CD6BB6"/>
    <w:rsid w:val="00CE3B64"/>
    <w:rsid w:val="00CE7C77"/>
    <w:rsid w:val="00CF17C8"/>
    <w:rsid w:val="00CF763D"/>
    <w:rsid w:val="00D002E5"/>
    <w:rsid w:val="00D020CC"/>
    <w:rsid w:val="00D042CB"/>
    <w:rsid w:val="00D10633"/>
    <w:rsid w:val="00D10DC3"/>
    <w:rsid w:val="00D211A9"/>
    <w:rsid w:val="00D259BF"/>
    <w:rsid w:val="00D26281"/>
    <w:rsid w:val="00D27F7C"/>
    <w:rsid w:val="00D46020"/>
    <w:rsid w:val="00D56B74"/>
    <w:rsid w:val="00D57A84"/>
    <w:rsid w:val="00D665A9"/>
    <w:rsid w:val="00D72C03"/>
    <w:rsid w:val="00D81CD3"/>
    <w:rsid w:val="00D82274"/>
    <w:rsid w:val="00D9062C"/>
    <w:rsid w:val="00D91C3A"/>
    <w:rsid w:val="00D93605"/>
    <w:rsid w:val="00D9617E"/>
    <w:rsid w:val="00DB07A4"/>
    <w:rsid w:val="00DB0DAB"/>
    <w:rsid w:val="00DB2837"/>
    <w:rsid w:val="00DB2D8F"/>
    <w:rsid w:val="00DB4B2E"/>
    <w:rsid w:val="00DB555E"/>
    <w:rsid w:val="00DB6514"/>
    <w:rsid w:val="00DB6A89"/>
    <w:rsid w:val="00DC266B"/>
    <w:rsid w:val="00DC4130"/>
    <w:rsid w:val="00DD18A1"/>
    <w:rsid w:val="00DD4471"/>
    <w:rsid w:val="00DE552D"/>
    <w:rsid w:val="00DE5BA8"/>
    <w:rsid w:val="00DE7291"/>
    <w:rsid w:val="00DE73B5"/>
    <w:rsid w:val="00DE7809"/>
    <w:rsid w:val="00DF4B68"/>
    <w:rsid w:val="00E05868"/>
    <w:rsid w:val="00E07594"/>
    <w:rsid w:val="00E11D5F"/>
    <w:rsid w:val="00E15C5B"/>
    <w:rsid w:val="00E23F76"/>
    <w:rsid w:val="00E275CE"/>
    <w:rsid w:val="00E41C96"/>
    <w:rsid w:val="00E42650"/>
    <w:rsid w:val="00E4682B"/>
    <w:rsid w:val="00E47699"/>
    <w:rsid w:val="00E628B1"/>
    <w:rsid w:val="00E71D53"/>
    <w:rsid w:val="00E722BD"/>
    <w:rsid w:val="00E830F6"/>
    <w:rsid w:val="00E87347"/>
    <w:rsid w:val="00E945B0"/>
    <w:rsid w:val="00E94AFD"/>
    <w:rsid w:val="00E957AE"/>
    <w:rsid w:val="00EA6262"/>
    <w:rsid w:val="00EB4480"/>
    <w:rsid w:val="00EB6465"/>
    <w:rsid w:val="00ED6677"/>
    <w:rsid w:val="00EE6530"/>
    <w:rsid w:val="00F00E80"/>
    <w:rsid w:val="00F0713A"/>
    <w:rsid w:val="00F11018"/>
    <w:rsid w:val="00F1449F"/>
    <w:rsid w:val="00F15AF4"/>
    <w:rsid w:val="00F16E22"/>
    <w:rsid w:val="00F17C71"/>
    <w:rsid w:val="00F27339"/>
    <w:rsid w:val="00F37D20"/>
    <w:rsid w:val="00F42342"/>
    <w:rsid w:val="00F44A09"/>
    <w:rsid w:val="00F52378"/>
    <w:rsid w:val="00F54888"/>
    <w:rsid w:val="00F56386"/>
    <w:rsid w:val="00F57262"/>
    <w:rsid w:val="00F61A51"/>
    <w:rsid w:val="00F6407D"/>
    <w:rsid w:val="00F64FBB"/>
    <w:rsid w:val="00F67F81"/>
    <w:rsid w:val="00F703AD"/>
    <w:rsid w:val="00F70EA3"/>
    <w:rsid w:val="00F73553"/>
    <w:rsid w:val="00F778B9"/>
    <w:rsid w:val="00F77E65"/>
    <w:rsid w:val="00F8226F"/>
    <w:rsid w:val="00F83543"/>
    <w:rsid w:val="00F84C53"/>
    <w:rsid w:val="00F907D1"/>
    <w:rsid w:val="00F926B8"/>
    <w:rsid w:val="00F9426F"/>
    <w:rsid w:val="00F95F55"/>
    <w:rsid w:val="00F968DC"/>
    <w:rsid w:val="00FA2E27"/>
    <w:rsid w:val="00FA4128"/>
    <w:rsid w:val="00FA6158"/>
    <w:rsid w:val="00FA63F4"/>
    <w:rsid w:val="00FB15E3"/>
    <w:rsid w:val="00FB79BD"/>
    <w:rsid w:val="00FC754C"/>
    <w:rsid w:val="00FD0304"/>
    <w:rsid w:val="00FD3CE4"/>
    <w:rsid w:val="00FD684B"/>
    <w:rsid w:val="027B5673"/>
    <w:rsid w:val="03EF3B00"/>
    <w:rsid w:val="066C1A43"/>
    <w:rsid w:val="082223BA"/>
    <w:rsid w:val="08AD5074"/>
    <w:rsid w:val="08FC70AE"/>
    <w:rsid w:val="08FF2E69"/>
    <w:rsid w:val="0AD6392F"/>
    <w:rsid w:val="0BF422BF"/>
    <w:rsid w:val="0CEE6B82"/>
    <w:rsid w:val="0D774F56"/>
    <w:rsid w:val="0E950424"/>
    <w:rsid w:val="0ED3481B"/>
    <w:rsid w:val="14902DA1"/>
    <w:rsid w:val="15A07014"/>
    <w:rsid w:val="15DD3DC4"/>
    <w:rsid w:val="16007AB2"/>
    <w:rsid w:val="168C360A"/>
    <w:rsid w:val="1C876837"/>
    <w:rsid w:val="1D440BCC"/>
    <w:rsid w:val="1D835251"/>
    <w:rsid w:val="1FA94D17"/>
    <w:rsid w:val="20145899"/>
    <w:rsid w:val="203D2B1E"/>
    <w:rsid w:val="20A0611A"/>
    <w:rsid w:val="213056EF"/>
    <w:rsid w:val="22F95FB5"/>
    <w:rsid w:val="23632C4C"/>
    <w:rsid w:val="23F427B1"/>
    <w:rsid w:val="24037F72"/>
    <w:rsid w:val="26E054C2"/>
    <w:rsid w:val="2AA8279A"/>
    <w:rsid w:val="2C50570C"/>
    <w:rsid w:val="2CAB0320"/>
    <w:rsid w:val="2D0B13C9"/>
    <w:rsid w:val="2DBE22D5"/>
    <w:rsid w:val="2E9B04A6"/>
    <w:rsid w:val="315658C4"/>
    <w:rsid w:val="3270063B"/>
    <w:rsid w:val="34174ADB"/>
    <w:rsid w:val="3552242D"/>
    <w:rsid w:val="38CA5FD2"/>
    <w:rsid w:val="39A82234"/>
    <w:rsid w:val="3B2F4FC9"/>
    <w:rsid w:val="3D25D500"/>
    <w:rsid w:val="3EEF98DD"/>
    <w:rsid w:val="3F9FD22F"/>
    <w:rsid w:val="44FE4127"/>
    <w:rsid w:val="470749E1"/>
    <w:rsid w:val="49B77726"/>
    <w:rsid w:val="4A766B37"/>
    <w:rsid w:val="4AB60F30"/>
    <w:rsid w:val="4B0C5FD6"/>
    <w:rsid w:val="4B271F48"/>
    <w:rsid w:val="4B46598C"/>
    <w:rsid w:val="4E1458CD"/>
    <w:rsid w:val="4F7B247E"/>
    <w:rsid w:val="4F8C3B89"/>
    <w:rsid w:val="558F7F2F"/>
    <w:rsid w:val="56763E09"/>
    <w:rsid w:val="57D94567"/>
    <w:rsid w:val="593413AC"/>
    <w:rsid w:val="5A7871E4"/>
    <w:rsid w:val="5C0E385F"/>
    <w:rsid w:val="5CFB5EAA"/>
    <w:rsid w:val="5CFF1606"/>
    <w:rsid w:val="5DFD637E"/>
    <w:rsid w:val="5DFFCE9C"/>
    <w:rsid w:val="5FB81DCD"/>
    <w:rsid w:val="5FFA069B"/>
    <w:rsid w:val="63BD8BA4"/>
    <w:rsid w:val="63E1404C"/>
    <w:rsid w:val="65402FF4"/>
    <w:rsid w:val="65EC5EC7"/>
    <w:rsid w:val="65FC6F1B"/>
    <w:rsid w:val="66E321C6"/>
    <w:rsid w:val="67FD6528"/>
    <w:rsid w:val="6B0B280C"/>
    <w:rsid w:val="6BEB1F0C"/>
    <w:rsid w:val="6BFEE3C0"/>
    <w:rsid w:val="6BFF0146"/>
    <w:rsid w:val="6DB4614A"/>
    <w:rsid w:val="6EFD90F7"/>
    <w:rsid w:val="6F246191"/>
    <w:rsid w:val="70DF7A17"/>
    <w:rsid w:val="70FA499F"/>
    <w:rsid w:val="72DE18B7"/>
    <w:rsid w:val="7329008F"/>
    <w:rsid w:val="75702E41"/>
    <w:rsid w:val="77C6AB6B"/>
    <w:rsid w:val="77FF4F98"/>
    <w:rsid w:val="7877401B"/>
    <w:rsid w:val="79631940"/>
    <w:rsid w:val="79EA1A55"/>
    <w:rsid w:val="79FF0142"/>
    <w:rsid w:val="7BFB120F"/>
    <w:rsid w:val="7CE7227B"/>
    <w:rsid w:val="7DD56726"/>
    <w:rsid w:val="7EB172A8"/>
    <w:rsid w:val="7F106A2F"/>
    <w:rsid w:val="7F6F3CB4"/>
    <w:rsid w:val="7F7F1836"/>
    <w:rsid w:val="7FDE9EE2"/>
    <w:rsid w:val="7FF607AF"/>
    <w:rsid w:val="93EEA786"/>
    <w:rsid w:val="9CFB7DEA"/>
    <w:rsid w:val="ADAF1DB9"/>
    <w:rsid w:val="B5FF0B5B"/>
    <w:rsid w:val="B76B45F2"/>
    <w:rsid w:val="D5FE192F"/>
    <w:rsid w:val="DDDB2668"/>
    <w:rsid w:val="DFFB0938"/>
    <w:rsid w:val="EB7DFDD5"/>
    <w:rsid w:val="EC3D1978"/>
    <w:rsid w:val="FEFFD74D"/>
    <w:rsid w:val="FFFF8C4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20"/>
    <w:qFormat/>
    <w:uiPriority w:val="99"/>
    <w:pPr>
      <w:keepNext/>
      <w:keepLines/>
      <w:tabs>
        <w:tab w:val="left" w:pos="0"/>
      </w:tabs>
      <w:suppressAutoHyphens/>
      <w:spacing w:before="340" w:after="330" w:line="480" w:lineRule="auto"/>
      <w:ind w:left="432" w:hanging="432"/>
      <w:outlineLvl w:val="0"/>
    </w:pPr>
    <w:rPr>
      <w:b/>
      <w:bCs/>
      <w:kern w:val="1"/>
      <w:sz w:val="44"/>
      <w:szCs w:val="44"/>
      <w:lang w:eastAsia="ar-SA"/>
    </w:rPr>
  </w:style>
  <w:style w:type="paragraph" w:styleId="6">
    <w:name w:val="heading 3"/>
    <w:basedOn w:val="1"/>
    <w:next w:val="1"/>
    <w:link w:val="21"/>
    <w:qFormat/>
    <w:uiPriority w:val="99"/>
    <w:pPr>
      <w:keepNext/>
      <w:keepLines/>
      <w:tabs>
        <w:tab w:val="left" w:pos="0"/>
      </w:tabs>
      <w:suppressAutoHyphens/>
      <w:spacing w:before="260" w:after="260" w:line="412" w:lineRule="auto"/>
      <w:ind w:left="720" w:hanging="720"/>
      <w:outlineLvl w:val="2"/>
    </w:pPr>
    <w:rPr>
      <w:b/>
      <w:bCs/>
      <w:kern w:val="21"/>
      <w:sz w:val="32"/>
      <w:szCs w:val="32"/>
      <w:lang w:eastAsia="ar-SA"/>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customStyle="1" w:styleId="2">
    <w:name w:val="正文首行缩进 21"/>
    <w:basedOn w:val="3"/>
    <w:next w:val="4"/>
    <w:qFormat/>
    <w:uiPriority w:val="0"/>
    <w:rPr>
      <w:rFonts w:eastAsia="仿宋_GB2312"/>
      <w:sz w:val="32"/>
      <w:szCs w:val="32"/>
    </w:rPr>
  </w:style>
  <w:style w:type="paragraph" w:customStyle="1" w:styleId="3">
    <w:name w:val="正文文本缩进1"/>
    <w:basedOn w:val="1"/>
    <w:qFormat/>
    <w:uiPriority w:val="0"/>
    <w:pPr>
      <w:ind w:left="200" w:leftChars="200"/>
    </w:pPr>
    <w:rPr>
      <w:rFonts w:ascii="Calibri" w:hAnsi="Calibri"/>
    </w:rPr>
  </w:style>
  <w:style w:type="paragraph" w:styleId="4">
    <w:name w:val="Normal (Web)"/>
    <w:basedOn w:val="1"/>
    <w:next w:val="1"/>
    <w:semiHidden/>
    <w:unhideWhenUsed/>
    <w:qFormat/>
    <w:uiPriority w:val="99"/>
    <w:pPr>
      <w:spacing w:beforeAutospacing="1" w:afterAutospacing="1"/>
      <w:jc w:val="left"/>
    </w:pPr>
    <w:rPr>
      <w:kern w:val="0"/>
      <w:sz w:val="24"/>
    </w:rPr>
  </w:style>
  <w:style w:type="paragraph" w:styleId="7">
    <w:name w:val="Normal Indent"/>
    <w:basedOn w:val="1"/>
    <w:unhideWhenUsed/>
    <w:qFormat/>
    <w:uiPriority w:val="99"/>
    <w:pPr>
      <w:ind w:firstLine="420" w:firstLineChars="200"/>
    </w:pPr>
    <w:rPr>
      <w:szCs w:val="21"/>
    </w:rPr>
  </w:style>
  <w:style w:type="paragraph" w:styleId="8">
    <w:name w:val="caption"/>
    <w:basedOn w:val="1"/>
    <w:next w:val="1"/>
    <w:qFormat/>
    <w:uiPriority w:val="99"/>
    <w:pPr>
      <w:suppressLineNumbers/>
      <w:suppressAutoHyphens/>
      <w:spacing w:before="120" w:after="120"/>
    </w:pPr>
    <w:rPr>
      <w:rFonts w:cs="Mangal"/>
      <w:i/>
      <w:iCs/>
      <w:kern w:val="21"/>
      <w:sz w:val="24"/>
      <w:lang w:eastAsia="ar-SA"/>
    </w:rPr>
  </w:style>
  <w:style w:type="paragraph" w:styleId="9">
    <w:name w:val="Body Text"/>
    <w:basedOn w:val="1"/>
    <w:link w:val="31"/>
    <w:qFormat/>
    <w:uiPriority w:val="0"/>
    <w:pPr>
      <w:spacing w:after="120"/>
    </w:pPr>
  </w:style>
  <w:style w:type="paragraph" w:styleId="10">
    <w:name w:val="Date"/>
    <w:basedOn w:val="1"/>
    <w:next w:val="1"/>
    <w:link w:val="30"/>
    <w:semiHidden/>
    <w:unhideWhenUsed/>
    <w:qFormat/>
    <w:uiPriority w:val="99"/>
    <w:pPr>
      <w:ind w:left="100" w:leftChars="2500"/>
    </w:pPr>
  </w:style>
  <w:style w:type="paragraph" w:styleId="11">
    <w:name w:val="Balloon Text"/>
    <w:basedOn w:val="1"/>
    <w:link w:val="27"/>
    <w:semiHidden/>
    <w:unhideWhenUsed/>
    <w:qFormat/>
    <w:uiPriority w:val="99"/>
    <w:rPr>
      <w:sz w:val="18"/>
      <w:szCs w:val="18"/>
    </w:rPr>
  </w:style>
  <w:style w:type="paragraph" w:styleId="12">
    <w:name w:val="footer"/>
    <w:basedOn w:val="1"/>
    <w:link w:val="26"/>
    <w:unhideWhenUsed/>
    <w:qFormat/>
    <w:uiPriority w:val="99"/>
    <w:pPr>
      <w:tabs>
        <w:tab w:val="center" w:pos="4153"/>
        <w:tab w:val="right" w:pos="8306"/>
      </w:tabs>
      <w:snapToGrid w:val="0"/>
      <w:jc w:val="left"/>
    </w:pPr>
    <w:rPr>
      <w:sz w:val="18"/>
      <w:szCs w:val="18"/>
    </w:rPr>
  </w:style>
  <w:style w:type="paragraph" w:styleId="13">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Strong"/>
    <w:qFormat/>
    <w:uiPriority w:val="99"/>
    <w:rPr>
      <w:rFonts w:cs="Times New Roman"/>
      <w:b/>
    </w:rPr>
  </w:style>
  <w:style w:type="character" w:styleId="19">
    <w:name w:val="Emphasis"/>
    <w:basedOn w:val="17"/>
    <w:qFormat/>
    <w:locked/>
    <w:uiPriority w:val="0"/>
    <w:rPr>
      <w:i/>
    </w:rPr>
  </w:style>
  <w:style w:type="character" w:customStyle="1" w:styleId="20">
    <w:name w:val="标题 1 Char"/>
    <w:link w:val="5"/>
    <w:qFormat/>
    <w:locked/>
    <w:uiPriority w:val="99"/>
    <w:rPr>
      <w:rFonts w:cs="Times New Roman"/>
      <w:b/>
      <w:kern w:val="1"/>
      <w:sz w:val="44"/>
      <w:lang w:eastAsia="ar-SA" w:bidi="ar-SA"/>
    </w:rPr>
  </w:style>
  <w:style w:type="character" w:customStyle="1" w:styleId="21">
    <w:name w:val="标题 3 Char"/>
    <w:link w:val="6"/>
    <w:qFormat/>
    <w:locked/>
    <w:uiPriority w:val="99"/>
    <w:rPr>
      <w:rFonts w:cs="Times New Roman"/>
      <w:b/>
      <w:kern w:val="21"/>
      <w:sz w:val="32"/>
      <w:lang w:eastAsia="ar-SA" w:bidi="ar-SA"/>
    </w:rPr>
  </w:style>
  <w:style w:type="paragraph" w:styleId="22">
    <w:name w:val="List Paragraph"/>
    <w:basedOn w:val="1"/>
    <w:qFormat/>
    <w:uiPriority w:val="99"/>
    <w:pPr>
      <w:suppressAutoHyphens/>
      <w:ind w:firstLine="420" w:firstLineChars="200"/>
    </w:pPr>
    <w:rPr>
      <w:kern w:val="21"/>
      <w:lang w:eastAsia="ar-SA"/>
    </w:rPr>
  </w:style>
  <w:style w:type="paragraph" w:customStyle="1" w:styleId="23">
    <w:name w:val="段"/>
    <w:link w:val="2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4">
    <w:name w:val="段 Char"/>
    <w:link w:val="23"/>
    <w:qFormat/>
    <w:locked/>
    <w:uiPriority w:val="0"/>
    <w:rPr>
      <w:rFonts w:ascii="宋体" w:cs="Times New Roman"/>
      <w:sz w:val="21"/>
      <w:lang w:val="en-US" w:eastAsia="zh-CN" w:bidi="ar-SA"/>
    </w:rPr>
  </w:style>
  <w:style w:type="character" w:customStyle="1" w:styleId="25">
    <w:name w:val="页眉 Char"/>
    <w:link w:val="13"/>
    <w:qFormat/>
    <w:uiPriority w:val="99"/>
    <w:rPr>
      <w:sz w:val="18"/>
      <w:szCs w:val="18"/>
    </w:rPr>
  </w:style>
  <w:style w:type="character" w:customStyle="1" w:styleId="26">
    <w:name w:val="页脚 Char"/>
    <w:link w:val="12"/>
    <w:qFormat/>
    <w:uiPriority w:val="99"/>
    <w:rPr>
      <w:sz w:val="18"/>
      <w:szCs w:val="18"/>
    </w:rPr>
  </w:style>
  <w:style w:type="character" w:customStyle="1" w:styleId="27">
    <w:name w:val="批注框文本 Char"/>
    <w:link w:val="11"/>
    <w:semiHidden/>
    <w:qFormat/>
    <w:uiPriority w:val="99"/>
    <w:rPr>
      <w:kern w:val="2"/>
      <w:sz w:val="18"/>
      <w:szCs w:val="18"/>
    </w:rPr>
  </w:style>
  <w:style w:type="table" w:customStyle="1" w:styleId="28">
    <w:name w:val="浅色底纹1"/>
    <w:basedOn w:val="15"/>
    <w:qFormat/>
    <w:uiPriority w:val="60"/>
    <w:rPr>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table" w:customStyle="1" w:styleId="29">
    <w:name w:val="浅色底纹2"/>
    <w:basedOn w:val="15"/>
    <w:qFormat/>
    <w:uiPriority w:val="60"/>
    <w:rPr>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character" w:customStyle="1" w:styleId="30">
    <w:name w:val="日期 Char"/>
    <w:basedOn w:val="17"/>
    <w:link w:val="10"/>
    <w:semiHidden/>
    <w:qFormat/>
    <w:uiPriority w:val="99"/>
    <w:rPr>
      <w:kern w:val="2"/>
      <w:sz w:val="21"/>
      <w:szCs w:val="24"/>
    </w:rPr>
  </w:style>
  <w:style w:type="character" w:customStyle="1" w:styleId="31">
    <w:name w:val="正文文本 Char"/>
    <w:basedOn w:val="17"/>
    <w:link w:val="9"/>
    <w:qFormat/>
    <w:uiPriority w:val="0"/>
    <w:rPr>
      <w:kern w:val="2"/>
      <w:sz w:val="21"/>
      <w:szCs w:val="24"/>
    </w:rPr>
  </w:style>
  <w:style w:type="paragraph" w:customStyle="1" w:styleId="32">
    <w:name w:val="标准文件_段"/>
    <w:link w:val="33"/>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3">
    <w:name w:val="标准文件_段 Char"/>
    <w:link w:val="32"/>
    <w:qFormat/>
    <w:uiPriority w:val="0"/>
    <w:rPr>
      <w:rFonts w:ascii="宋体"/>
      <w:sz w:val="21"/>
    </w:rPr>
  </w:style>
  <w:style w:type="paragraph" w:customStyle="1" w:styleId="34">
    <w:name w:val="一级条标题"/>
    <w:next w:val="23"/>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35">
    <w:name w:val="二级条标题"/>
    <w:basedOn w:val="34"/>
    <w:next w:val="23"/>
    <w:qFormat/>
    <w:uiPriority w:val="0"/>
    <w:pPr>
      <w:numPr>
        <w:ilvl w:val="2"/>
      </w:numPr>
      <w:spacing w:before="50" w:after="50"/>
      <w:outlineLvl w:val="3"/>
    </w:pPr>
  </w:style>
  <w:style w:type="paragraph" w:customStyle="1" w:styleId="36">
    <w:name w:val="附录表标题"/>
    <w:basedOn w:val="1"/>
    <w:next w:val="23"/>
    <w:qFormat/>
    <w:uiPriority w:val="0"/>
    <w:pPr>
      <w:numPr>
        <w:ilvl w:val="1"/>
        <w:numId w:val="2"/>
      </w:numPr>
      <w:tabs>
        <w:tab w:val="left" w:pos="180"/>
      </w:tabs>
      <w:spacing w:beforeLines="50" w:afterLines="50"/>
      <w:ind w:left="0" w:firstLine="0"/>
      <w:jc w:val="center"/>
    </w:pPr>
    <w:rPr>
      <w:rFonts w:ascii="黑体" w:eastAsia="黑体"/>
      <w:szCs w:val="21"/>
    </w:rPr>
  </w:style>
  <w:style w:type="paragraph" w:customStyle="1" w:styleId="37">
    <w:name w:val="No Spacing_ad81b47b-6779-4c76-b471-79375858c8cb"/>
    <w:basedOn w:val="1"/>
    <w:qFormat/>
    <w:uiPriority w:val="0"/>
    <w:pPr>
      <w:ind w:firstLine="200" w:firstLineChars="200"/>
    </w:pPr>
    <w:rPr>
      <w:rFonts w:ascii="Cambria" w:hAnsi="Cambria"/>
      <w:sz w:val="24"/>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8</Pages>
  <Words>5053</Words>
  <Characters>5314</Characters>
  <Lines>30</Lines>
  <Paragraphs>8</Paragraphs>
  <TotalTime>18</TotalTime>
  <ScaleCrop>false</ScaleCrop>
  <LinksUpToDate>false</LinksUpToDate>
  <CharactersWithSpaces>5365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2024-01-19T01:06:00Z</dcterms:created>
  <dc:creator>lenovo</dc:creator>
  <cp:lastModifiedBy>H</cp:lastModifiedBy>
  <cp:lastPrinted>2024-10-18T01:01:00Z</cp:lastPrinted>
  <dcterms:modified xsi:type="dcterms:W3CDTF">2024-11-06T09:48:43Z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4B703C31455643C0AF4EE5275CAA5F3B_13</vt:lpwstr>
  </property>
</Properties>
</file>